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4"/>
          <w:szCs w:val="32"/>
        </w:rPr>
        <w:t>2</w:t>
      </w:r>
      <w:r>
        <w:rPr>
          <w:rFonts w:hint="eastAsia"/>
          <w:b/>
          <w:bCs/>
          <w:sz w:val="28"/>
          <w:szCs w:val="36"/>
        </w:rPr>
        <w:t>018学年第一学期 新生研讨课</w:t>
      </w:r>
    </w:p>
    <w:p>
      <w:pPr>
        <w:rPr>
          <w:rFonts w:ascii="微软雅黑" w:hAnsi="微软雅黑" w:eastAsia="微软雅黑" w:cs="微软雅黑"/>
          <w:b/>
          <w:bCs/>
          <w:sz w:val="32"/>
          <w:szCs w:val="32"/>
        </w:rPr>
      </w:pPr>
    </w:p>
    <w:p>
      <w:pPr>
        <w:spacing w:line="360" w:lineRule="auto"/>
        <w:rPr>
          <w:rFonts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【新生研讨课】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shd w:val="clear" w:color="auto" w:fill="FFFFFF"/>
          <w14:textFill>
            <w14:solidFill>
              <w14:schemeClr w14:val="tx1"/>
            </w14:solidFill>
          </w14:textFill>
        </w:rPr>
        <w:t>是由学院优秀的教师专门为大一新生开设的小班专题讨论课程。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新生研讨课以其教师精心选择的独特专题，认真组织的小组讨论，学生积极主动的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:u w:val="none"/>
          <w14:textFill>
            <w14:solidFill>
              <w14:schemeClr w14:val="tx1"/>
            </w14:solidFill>
          </w14:textFill>
        </w:rPr>
        <w:t>全员参与</w:t>
      </w:r>
      <w:r>
        <w:rPr>
          <w:rFonts w:hint="eastAsia" w:asciiTheme="majorEastAsia" w:hAnsiTheme="majorEastAsia" w:eastAsiaTheme="majorEastAsia" w:cstheme="majorEastAsia"/>
          <w:color w:val="000000" w:themeColor="text1"/>
          <w:szCs w:val="21"/>
          <w14:textFill>
            <w14:solidFill>
              <w14:schemeClr w14:val="tx1"/>
            </w14:solidFill>
          </w14:textFill>
        </w:rPr>
        <w:t>，推动传统的以知识传授为主的教学方式向研究型教学方式的转变。新生研讨课提供教授和新生之间交流互动的机会。通过新生研讨课，使新生在大学一年级这个重要的人生转折期，能够有机会亲耳聆听教授的治学之道，亲身感受他们的魅力风范；创造一个新生在合作环境下进行探究式学习的机会。新生研讨课，旨在启发新生探求未知世界的兴趣，初步培养提出问题、解决问题的研究能力，为建立基于教师指导下的研究探索式的学习方式奠定基础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课程性质：</w:t>
      </w:r>
      <w:r>
        <w:rPr>
          <w:rFonts w:hint="eastAsia" w:asciiTheme="majorEastAsia" w:hAnsiTheme="majorEastAsia" w:eastAsiaTheme="majorEastAsia" w:cstheme="majorEastAsia"/>
          <w:szCs w:val="21"/>
        </w:rPr>
        <w:t>新生研讨课是面向大一新生的课程，以教授引导、师生互动、小组研讨、探索学习为特点，以培养认知能力为目的。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主要教学形式：</w:t>
      </w:r>
      <w:r>
        <w:rPr>
          <w:rFonts w:hint="eastAsia" w:asciiTheme="majorEastAsia" w:hAnsiTheme="majorEastAsia" w:eastAsiaTheme="majorEastAsia" w:cstheme="majorEastAsia"/>
          <w:szCs w:val="21"/>
        </w:rPr>
        <w:t>新生研讨课围绕某一师生共同感兴趣的专题，以教授和学生之间的交流、小组讨论、口头以及写作训练为主，以小组方式边学习，边讨论。在课程之外，要求学生在第一学期走访3个教授团队,目的是让学生了解生科院，并为第二学期选择全程导师做准备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学时学分：</w:t>
      </w:r>
      <w:r>
        <w:rPr>
          <w:rFonts w:hint="eastAsia" w:asciiTheme="majorEastAsia" w:hAnsiTheme="majorEastAsia" w:eastAsiaTheme="majorEastAsia" w:cstheme="majorEastAsia"/>
          <w:szCs w:val="21"/>
        </w:rPr>
        <w:t xml:space="preserve">新生研讨课课内总学时18学时，1个学分。  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课堂容量：</w:t>
      </w:r>
      <w:r>
        <w:rPr>
          <w:rFonts w:hint="eastAsia" w:asciiTheme="majorEastAsia" w:hAnsiTheme="majorEastAsia" w:eastAsiaTheme="majorEastAsia" w:cstheme="majorEastAsia"/>
          <w:b w:val="0"/>
          <w:bCs w:val="0"/>
          <w:szCs w:val="21"/>
          <w:lang w:val="en-US" w:eastAsia="zh-CN"/>
        </w:rPr>
        <w:t>共分</w:t>
      </w:r>
      <w:r>
        <w:rPr>
          <w:rFonts w:hint="eastAsia" w:asciiTheme="majorEastAsia" w:hAnsiTheme="majorEastAsia" w:eastAsiaTheme="majorEastAsia" w:cstheme="majorEastAsia"/>
          <w:b w:val="0"/>
          <w:bCs w:val="0"/>
          <w:szCs w:val="21"/>
        </w:rPr>
        <w:t>八个组，</w:t>
      </w:r>
      <w:r>
        <w:rPr>
          <w:rFonts w:hint="eastAsia" w:asciiTheme="majorEastAsia" w:hAnsiTheme="majorEastAsia" w:eastAsiaTheme="majorEastAsia" w:cstheme="majorEastAsia"/>
          <w:szCs w:val="21"/>
        </w:rPr>
        <w:t>上午和下午各四组。9月2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0</w:t>
      </w:r>
      <w:r>
        <w:rPr>
          <w:rFonts w:hint="eastAsia" w:asciiTheme="majorEastAsia" w:hAnsiTheme="majorEastAsia" w:eastAsiaTheme="majorEastAsia" w:cstheme="majorEastAsia"/>
          <w:szCs w:val="21"/>
        </w:rPr>
        <w:t>日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开课</w:t>
      </w:r>
      <w:r>
        <w:rPr>
          <w:rFonts w:hint="eastAsia" w:asciiTheme="majorEastAsia" w:hAnsiTheme="majorEastAsia" w:eastAsiaTheme="majorEastAsia" w:cstheme="majorEastAsia"/>
          <w:szCs w:val="21"/>
        </w:rPr>
        <w:t>，每次2节课。学生可根据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每组的</w:t>
      </w:r>
      <w:r>
        <w:rPr>
          <w:rFonts w:hint="eastAsia" w:asciiTheme="majorEastAsia" w:hAnsiTheme="majorEastAsia" w:eastAsiaTheme="majorEastAsia" w:cstheme="majorEastAsia"/>
          <w:szCs w:val="21"/>
        </w:rPr>
        <w:t>主题自由选择组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别</w:t>
      </w:r>
      <w:r>
        <w:rPr>
          <w:rFonts w:hint="eastAsia" w:asciiTheme="majorEastAsia" w:hAnsiTheme="majorEastAsia" w:eastAsiaTheme="majorEastAsia" w:cstheme="majorEastAsia"/>
          <w:szCs w:val="21"/>
        </w:rPr>
        <w:t>。</w:t>
      </w:r>
    </w:p>
    <w:p>
      <w:pPr>
        <w:spacing w:line="360" w:lineRule="auto"/>
        <w:rPr>
          <w:rFonts w:asciiTheme="majorEastAsia" w:hAnsiTheme="majorEastAsia" w:eastAsiaTheme="majorEastAsia" w:cstheme="majorEastAsia"/>
          <w:szCs w:val="21"/>
        </w:rPr>
      </w:pPr>
      <w:r>
        <w:rPr>
          <w:rFonts w:hint="eastAsia" w:asciiTheme="majorEastAsia" w:hAnsiTheme="majorEastAsia" w:eastAsiaTheme="majorEastAsia" w:cstheme="majorEastAsia"/>
          <w:b/>
          <w:bCs/>
          <w:szCs w:val="21"/>
          <w:lang w:val="en-US" w:eastAsia="zh-CN"/>
        </w:rPr>
        <w:t>2018学年的</w:t>
      </w: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【新生研讨课】安排在每周</w:t>
      </w:r>
      <w:r>
        <w:rPr>
          <w:rFonts w:hint="eastAsia" w:asciiTheme="majorEastAsia" w:hAnsiTheme="majorEastAsia" w:eastAsiaTheme="majorEastAsia" w:cstheme="majorEastAsia"/>
          <w:b/>
          <w:bCs/>
          <w:szCs w:val="21"/>
          <w:lang w:val="en-US" w:eastAsia="zh-CN"/>
        </w:rPr>
        <w:t>四</w:t>
      </w:r>
      <w:r>
        <w:rPr>
          <w:rFonts w:hint="eastAsia" w:asciiTheme="majorEastAsia" w:hAnsiTheme="majorEastAsia" w:eastAsiaTheme="majorEastAsia" w:cstheme="majorEastAsia"/>
          <w:b/>
          <w:bCs/>
          <w:szCs w:val="21"/>
        </w:rPr>
        <w:t>，</w:t>
      </w:r>
      <w:r>
        <w:rPr>
          <w:rFonts w:hint="eastAsia" w:asciiTheme="majorEastAsia" w:hAnsiTheme="majorEastAsia" w:eastAsiaTheme="majorEastAsia" w:cstheme="majorEastAsia"/>
          <w:szCs w:val="21"/>
        </w:rPr>
        <w:t>上午四个组上课时间为第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1</w:t>
      </w:r>
      <w:r>
        <w:rPr>
          <w:rFonts w:hint="eastAsia" w:asciiTheme="majorEastAsia" w:hAnsiTheme="majorEastAsia" w:eastAsiaTheme="majorEastAsia" w:cstheme="majorEastAsia"/>
          <w:szCs w:val="21"/>
        </w:rPr>
        <w:t>-</w:t>
      </w:r>
      <w:r>
        <w:rPr>
          <w:rFonts w:hint="eastAsia" w:asciiTheme="majorEastAsia" w:hAnsiTheme="majorEastAsia" w:eastAsiaTheme="majorEastAsia" w:cstheme="majorEastAsia"/>
          <w:szCs w:val="21"/>
          <w:lang w:val="en-US" w:eastAsia="zh-CN"/>
        </w:rPr>
        <w:t>2</w:t>
      </w:r>
      <w:r>
        <w:rPr>
          <w:rFonts w:hint="eastAsia" w:asciiTheme="majorEastAsia" w:hAnsiTheme="majorEastAsia" w:eastAsiaTheme="majorEastAsia" w:cstheme="majorEastAsia"/>
          <w:szCs w:val="21"/>
        </w:rPr>
        <w:t>节，下午四个组上课时间为第5-6节。本学期从第三周开始上课，第1-2周为军训。</w:t>
      </w:r>
    </w:p>
    <w:p>
      <w:pPr>
        <w:jc w:val="center"/>
        <w:rPr>
          <w:b/>
          <w:bCs/>
          <w:sz w:val="28"/>
          <w:szCs w:val="36"/>
        </w:rPr>
      </w:pPr>
      <w:r>
        <w:rPr>
          <w:b/>
          <w:bCs/>
          <w:sz w:val="28"/>
          <w:szCs w:val="36"/>
        </w:rPr>
        <w:br w:type="page"/>
      </w:r>
    </w:p>
    <w:p>
      <w:pPr>
        <w:jc w:val="center"/>
        <w:rPr>
          <w:b/>
          <w:bCs/>
          <w:sz w:val="28"/>
          <w:szCs w:val="36"/>
        </w:rPr>
      </w:pPr>
    </w:p>
    <w:tbl>
      <w:tblPr>
        <w:tblStyle w:val="8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7"/>
        <w:gridCol w:w="1568"/>
        <w:gridCol w:w="1510"/>
        <w:gridCol w:w="1420"/>
        <w:gridCol w:w="1563"/>
        <w:gridCol w:w="1559"/>
        <w:gridCol w:w="1555"/>
        <w:gridCol w:w="9"/>
        <w:gridCol w:w="1554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04)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05)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06)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第四组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（艺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07)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第五组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第六组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第七组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31</w:t>
            </w:r>
            <w:r>
              <w:rPr>
                <w:rFonts w:hint="eastAsia" w:ascii="宋体" w:hAnsi="宋体" w:cs="宋体"/>
                <w:szCs w:val="21"/>
              </w:rPr>
              <w:t>0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第八组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3108</w:t>
            </w:r>
            <w:r>
              <w:rPr>
                <w:rFonts w:hint="eastAsia" w:ascii="宋体" w:hAnsi="宋体" w:cs="宋体"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6" w:hRule="atLeast"/>
        </w:trPr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重温经典，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致敬诺奖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主讲：张雁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免疫与健康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主讲：崔隽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寂静的春天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 xml:space="preserve">主讲：周婷 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/>
                <w:color w:val="1F2DA8"/>
              </w:rPr>
              <w:t>现代农业生物技术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主讲：陈月琴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hint="eastAsia" w:ascii="宋体" w:hAnsi="宋体" w:eastAsia="宋体" w:cs="宋体"/>
                <w:color w:val="1F2DA8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1F2DA8"/>
                <w:szCs w:val="21"/>
                <w:lang w:val="en-US" w:eastAsia="zh-CN"/>
              </w:rPr>
              <w:t>RNA与生命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主讲：陈月琴</w:t>
            </w:r>
          </w:p>
          <w:p>
            <w:pPr>
              <w:rPr>
                <w:color w:val="1F2DA8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主讲：陈月琴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细胞命运的改变及功能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主讲：元少春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</w:t>
            </w:r>
          </w:p>
          <w:p>
            <w:pPr>
              <w:rPr>
                <w:color w:val="1F2DA8"/>
                <w:szCs w:val="21"/>
              </w:rPr>
            </w:pPr>
            <w:r>
              <w:rPr>
                <w:rFonts w:hint="eastAsia"/>
                <w:color w:val="1F2DA8"/>
                <w:szCs w:val="21"/>
              </w:rPr>
              <w:t>植物如何改变世界？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主讲：肖仕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主题：生物的维持和保护</w:t>
            </w:r>
          </w:p>
          <w:p>
            <w:pPr>
              <w:rPr>
                <w:rFonts w:hint="eastAsia" w:ascii="宋体" w:hAnsi="宋体" w:cs="宋体"/>
                <w:color w:val="1F2DA8"/>
                <w:szCs w:val="21"/>
              </w:rPr>
            </w:pPr>
          </w:p>
          <w:p>
            <w:pPr>
              <w:rPr>
                <w:rFonts w:hint="eastAsia" w:ascii="宋体" w:hAnsi="宋体" w:cs="宋体"/>
                <w:color w:val="1F2DA8"/>
                <w:szCs w:val="21"/>
              </w:rPr>
            </w:pP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  <w:r>
              <w:rPr>
                <w:rFonts w:hint="eastAsia" w:ascii="宋体" w:hAnsi="宋体" w:cs="宋体"/>
                <w:color w:val="1F2DA8"/>
                <w:szCs w:val="21"/>
              </w:rPr>
              <w:t>主讲：储诚进</w:t>
            </w:r>
          </w:p>
          <w:p>
            <w:pPr>
              <w:rPr>
                <w:rFonts w:ascii="宋体" w:hAnsi="宋体" w:cs="宋体"/>
                <w:color w:val="1F2DA8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9月2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0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第一次讨论课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课程整体安排介绍；破冰活动，分组；专题的引入（张雁）</w:t>
            </w:r>
          </w:p>
        </w:tc>
        <w:tc>
          <w:tcPr>
            <w:tcW w:w="1510" w:type="dxa"/>
            <w:shd w:val="clear" w:color="auto" w:fill="FEF2CC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课程整体安排介绍；破冰活动，分组；专题的引入（崔隽）</w:t>
            </w:r>
          </w:p>
        </w:tc>
        <w:tc>
          <w:tcPr>
            <w:tcW w:w="1420" w:type="dxa"/>
            <w:shd w:val="clear" w:color="auto" w:fill="FEF2CC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课程整体安排介绍；破冰活动，分组；专题的引入（周婷）</w:t>
            </w:r>
          </w:p>
        </w:tc>
        <w:tc>
          <w:tcPr>
            <w:tcW w:w="1563" w:type="dxa"/>
            <w:shd w:val="clear" w:color="auto" w:fill="FEF2CC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课程整体安排介绍；破冰活动，分组；专题的引入（陈月琴）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课程整体安排介绍；破冰活动，分组；专题的引入（陈月琴）</w:t>
            </w:r>
          </w:p>
        </w:tc>
        <w:tc>
          <w:tcPr>
            <w:tcW w:w="1555" w:type="dxa"/>
            <w:shd w:val="clear" w:color="auto" w:fill="EBF1DE" w:themeFill="accent3" w:themeFillTint="32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课程整体安排介绍；破冰活动，分组；专题的引入（元少春）</w:t>
            </w:r>
          </w:p>
        </w:tc>
        <w:tc>
          <w:tcPr>
            <w:tcW w:w="1563" w:type="dxa"/>
            <w:gridSpan w:val="2"/>
            <w:shd w:val="clear" w:color="auto" w:fill="EBF1DE" w:themeFill="accent3" w:themeFillTint="32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r>
              <w:rPr>
                <w:rFonts w:hint="eastAsia" w:ascii="宋体" w:hAnsi="宋体" w:cs="宋体"/>
                <w:szCs w:val="21"/>
              </w:rPr>
              <w:t>课程整体安排介绍；破冰活动，分组；专题的引入（储诚进）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9月2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课题（张雁）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课题（周婷）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课题（陈月琴）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课题（陈月琴）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科技论文阅读与写作</w:t>
            </w:r>
            <w:r>
              <w:rPr>
                <w:rFonts w:hint="eastAsia" w:ascii="宋体" w:hAnsi="宋体" w:cs="宋体"/>
                <w:szCs w:val="21"/>
              </w:rPr>
              <w:t>，布置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讨论</w:t>
            </w:r>
            <w:r>
              <w:rPr>
                <w:rFonts w:hint="eastAsia" w:ascii="宋体" w:hAnsi="宋体" w:cs="宋体"/>
                <w:szCs w:val="21"/>
              </w:rPr>
              <w:t>课题（储诚进）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/>
                <w:szCs w:val="21"/>
              </w:rPr>
              <w:t>10</w:t>
            </w:r>
            <w:r>
              <w:rPr>
                <w:rFonts w:hint="eastAsia" w:ascii="宋体" w:hAnsi="宋体" w:cs="宋体"/>
                <w:szCs w:val="21"/>
              </w:rPr>
              <w:t>月1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第二次讨论课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</w:t>
            </w:r>
            <w:r>
              <w:rPr>
                <w:rFonts w:hint="eastAsia" w:ascii="宋体" w:hAnsi="宋体" w:eastAsia="PMingLiU" w:cs="宋体"/>
                <w:szCs w:val="21"/>
                <w:lang w:eastAsia="zh-HK"/>
              </w:rPr>
              <w:t>6</w:t>
            </w:r>
            <w:r>
              <w:rPr>
                <w:rFonts w:hint="eastAsia" w:ascii="宋体" w:hAnsi="宋体" w:cs="宋体"/>
                <w:szCs w:val="21"/>
              </w:rPr>
              <w:t>年诺奖：</w:t>
            </w:r>
            <w:r>
              <w:rPr>
                <w:rFonts w:hint="eastAsia" w:ascii="宋体" w:hAnsi="宋体" w:eastAsia="PMingLiU" w:cs="宋体"/>
                <w:color w:val="000000"/>
                <w:szCs w:val="21"/>
                <w:lang w:eastAsia="zh-HK"/>
              </w:rPr>
              <w:t>RNAi</w:t>
            </w:r>
            <w:r>
              <w:rPr>
                <w:rFonts w:hint="eastAsia" w:ascii="宋体" w:hAnsi="宋体" w:cs="宋体"/>
                <w:color w:val="000000"/>
                <w:szCs w:val="21"/>
                <w:lang w:val="en-US" w:eastAsia="zh-CN"/>
              </w:rPr>
              <w:t>技术</w:t>
            </w:r>
            <w:r>
              <w:rPr>
                <w:rFonts w:hint="eastAsia" w:ascii="宋体" w:hAnsi="宋体" w:cs="宋体"/>
                <w:szCs w:val="21"/>
              </w:rPr>
              <w:t>（张玉婵）</w:t>
            </w:r>
          </w:p>
        </w:tc>
        <w:tc>
          <w:tcPr>
            <w:tcW w:w="1510" w:type="dxa"/>
            <w:shd w:val="clear" w:color="auto" w:fill="FEF2CC"/>
          </w:tcPr>
          <w:p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从肿瘤的免疫治疗说开去-从理论到实践：肿瘤的细胞疗法（崔隽）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人为干扰对生态及环境各因子的影响（周婷）</w:t>
            </w:r>
          </w:p>
          <w:p/>
        </w:tc>
        <w:tc>
          <w:tcPr>
            <w:tcW w:w="1563" w:type="dxa"/>
            <w:shd w:val="clear" w:color="auto" w:fill="FEF2CC"/>
            <w:vAlign w:val="top"/>
          </w:tcPr>
          <w:p>
            <w:r>
              <w:t>转基因技术前景如何</w:t>
            </w:r>
            <w:r>
              <w:rPr>
                <w:rFonts w:hint="eastAsia"/>
              </w:rPr>
              <w:t>？（张玉婵）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RNA与病毒</w:t>
            </w:r>
          </w:p>
          <w:p>
            <w:r>
              <w:rPr>
                <w:rFonts w:hint="eastAsia"/>
                <w:szCs w:val="21"/>
              </w:rPr>
              <w:t>（徐辉）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细胞信号网络的结构，功能和调控</w:t>
            </w:r>
            <w:r>
              <w:rPr>
                <w:rFonts w:hint="eastAsia" w:ascii="宋体" w:hAnsi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（崔隽）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r>
              <w:rPr>
                <w:rFonts w:hint="eastAsia"/>
                <w:szCs w:val="21"/>
              </w:rPr>
              <w:t>植物激素与逆境感受（肖仕）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r>
              <w:rPr>
                <w:rFonts w:hint="eastAsia" w:ascii="宋体" w:hAnsi="宋体" w:cs="宋体"/>
                <w:szCs w:val="21"/>
              </w:rPr>
              <w:t>全球变暖、病原菌与植物多样性（储诚进）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10月1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第三次讨论课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2002年诺奖：细胞程序性死亡（姚楠）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分子-细胞实验室的七种武器-分子细胞实验的常用技术（崔隽）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生态系统弹性及阈值的重要性（周婷）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  <w:vAlign w:val="top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“全能”的植物细胞（王宏斌）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RNA与分类学（屈良鹄）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论蛋白质修饰的一千种方法</w:t>
            </w:r>
            <w:r>
              <w:rPr>
                <w:rFonts w:hint="eastAsia" w:ascii="宋体" w:hAnsi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（崔隽）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叶绿体与光合作用（</w:t>
            </w:r>
            <w:r>
              <w:rPr>
                <w:rFonts w:hint="eastAsia"/>
                <w:szCs w:val="21"/>
              </w:rPr>
              <w:t>王宏斌）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如何有效恢复植物多样性？（储诚进）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</w:trPr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10月2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第四次讨论课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2012年诺奖：i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PS技术</w:t>
            </w:r>
            <w:r>
              <w:rPr>
                <w:rFonts w:hint="eastAsia" w:ascii="宋体" w:hAnsi="宋体" w:cs="宋体"/>
                <w:szCs w:val="21"/>
              </w:rPr>
              <w:t>（张雁）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上帝的剪刀 -基因编辑和转基因动物（黄军就）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生态位（niche）的涵义及延伸（周婷）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  <w:vAlign w:val="top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纳米技术在农业中的应用</w:t>
            </w:r>
            <w:r>
              <w:rPr>
                <w:rFonts w:hint="eastAsia" w:ascii="Times New Roman" w:hAnsi="Times New Roman"/>
                <w:szCs w:val="21"/>
              </w:rPr>
              <w:t>（姚楠）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ＲＮＡ与食品（陈月琴）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上帝的剪刀 -转基因与基因编辑（黄军就）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szCs w:val="21"/>
              </w:rPr>
              <w:t>植物与致病菌的军备竞赛（</w:t>
            </w:r>
            <w:r>
              <w:rPr>
                <w:rFonts w:hint="eastAsia"/>
                <w:szCs w:val="21"/>
              </w:rPr>
              <w:t>李剑峰）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我们为什么要保护熊猫？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王酉石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第五次讨论课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2014年诺奖：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构成大脑定位系统的细胞</w:t>
            </w:r>
            <w:r>
              <w:rPr>
                <w:rFonts w:hint="eastAsia" w:ascii="宋体" w:hAnsi="宋体" w:cs="宋体"/>
                <w:szCs w:val="21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张玉婵</w:t>
            </w:r>
            <w:bookmarkStart w:id="0" w:name="_GoBack"/>
            <w:bookmarkEnd w:id="0"/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免疫多样性----既连续又不连续（元少春）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地球主要生态系统的结构与功能特点（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余世孝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</w:tc>
        <w:tc>
          <w:tcPr>
            <w:tcW w:w="1563" w:type="dxa"/>
            <w:shd w:val="clear" w:color="auto" w:fill="FEF2CC"/>
            <w:vAlign w:val="top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植物靶向基因调控技术的前世今生</w:t>
            </w:r>
            <w:r>
              <w:rPr>
                <w:rFonts w:hint="eastAsia" w:ascii="Times New Roman" w:hAnsi="Times New Roman"/>
                <w:szCs w:val="21"/>
              </w:rPr>
              <w:t>（李剑锋）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RNA与发育（张玉婵）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抗感染免疫（元少春）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微观下植物的生与死（姚楠）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达尔文的遗产－什么是适应性进化？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李添明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第六次讨论课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2015年诺奖：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青蒿素</w:t>
            </w:r>
            <w:r>
              <w:rPr>
                <w:rFonts w:hint="eastAsia" w:ascii="宋体" w:hAnsi="宋体" w:cs="宋体"/>
                <w:szCs w:val="21"/>
              </w:rPr>
              <w:t>（苏薇薇）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抗体多样性----上帝创造的奇迹（元少春）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外来生物入侵（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余世孝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  <w:vAlign w:val="top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绿色革命</w:t>
            </w:r>
            <w:r>
              <w:rPr>
                <w:rFonts w:hint="eastAsia" w:ascii="Times New Roman" w:hAnsi="Times New Roman"/>
                <w:szCs w:val="21"/>
              </w:rPr>
              <w:t>（肖仕）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RNA与大数据（郑凌伶）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细胞死亡与疾病发生（元少春）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szCs w:val="21"/>
              </w:rPr>
              <w:t>植物的多子多福（</w:t>
            </w:r>
            <w:r>
              <w:rPr>
                <w:rFonts w:hint="eastAsia"/>
                <w:szCs w:val="21"/>
              </w:rPr>
              <w:t>陈月琴）</w:t>
            </w:r>
          </w:p>
          <w:p>
            <w:pPr>
              <w:rPr>
                <w:szCs w:val="21"/>
              </w:rPr>
            </w:pP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人类的配偶制是进化的产物吗？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李添明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11月1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第七次讨论课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2017年诺奖：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生物节律</w:t>
            </w:r>
            <w:r>
              <w:rPr>
                <w:rFonts w:hint="eastAsia" w:ascii="宋体" w:hAnsi="宋体" w:cs="宋体"/>
                <w:szCs w:val="21"/>
              </w:rPr>
              <w:t>（郭金虎）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  <w:shd w:val="clear" w:color="auto" w:fill="FFFFFF"/>
              </w:rPr>
              <w:t>靶向肿瘤“土壤”（肿瘤治疗新思路）邝栋明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全球变化（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陈宝明</w:t>
            </w:r>
            <w:r>
              <w:rPr>
                <w:rFonts w:hint="eastAsia" w:ascii="宋体" w:hAnsi="宋体" w:cs="宋体"/>
                <w:szCs w:val="21"/>
              </w:rPr>
              <w:t>）</w:t>
            </w:r>
          </w:p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3" w:type="dxa"/>
            <w:shd w:val="clear" w:color="auto" w:fill="FEF2CC"/>
            <w:vAlign w:val="top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智慧农业</w:t>
            </w:r>
            <w:r>
              <w:rPr>
                <w:rFonts w:hint="eastAsia" w:ascii="Times New Roman" w:hAnsi="Times New Roman"/>
                <w:szCs w:val="21"/>
              </w:rPr>
              <w:t>（余陆军）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RNA技术与疾病治疗（杨建华）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  <w:t>肿瘤的十大特征与肿瘤治疗（邝栋明）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/>
                <w:szCs w:val="21"/>
              </w:rPr>
              <w:t>一花一世界（陈琴芳）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hint="eastAsia" w:ascii="宋体" w:hAnsi="宋体" w:eastAsia="宋体" w:cs="宋体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szCs w:val="21"/>
              </w:rPr>
              <w:t>我们为什么要研究灵长类？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范朋飞</w:t>
            </w:r>
            <w:r>
              <w:rPr>
                <w:rFonts w:hint="eastAsia" w:ascii="宋体" w:hAnsi="宋体" w:cs="宋体"/>
                <w:szCs w:val="21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11月2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Cs w:val="21"/>
              </w:rPr>
              <w:t>日</w:t>
            </w:r>
          </w:p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第八次讨论课</w:t>
            </w: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51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420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563" w:type="dxa"/>
            <w:shd w:val="clear" w:color="auto" w:fill="FEF2CC"/>
          </w:tcPr>
          <w:p>
            <w:pPr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559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564" w:type="dxa"/>
            <w:gridSpan w:val="2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554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  <w:tc>
          <w:tcPr>
            <w:tcW w:w="1701" w:type="dxa"/>
            <w:shd w:val="clear" w:color="auto" w:fill="EBF1DE" w:themeFill="accent3" w:themeFillTint="32"/>
          </w:tcPr>
          <w:p>
            <w:pPr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前七次课程内容的深度讨论和课程论文写作指导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77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68" w:type="dxa"/>
            <w:shd w:val="clear" w:color="auto" w:fill="FEF2CC"/>
          </w:tcPr>
          <w:p>
            <w:pPr>
              <w:rPr>
                <w:rFonts w:ascii="宋体" w:hAnsi="宋体" w:cs="宋体"/>
                <w:szCs w:val="21"/>
              </w:rPr>
            </w:pPr>
          </w:p>
        </w:tc>
        <w:tc>
          <w:tcPr>
            <w:tcW w:w="1510" w:type="dxa"/>
            <w:shd w:val="clear" w:color="auto" w:fill="FEF2CC"/>
          </w:tcPr>
          <w:p/>
        </w:tc>
        <w:tc>
          <w:tcPr>
            <w:tcW w:w="1420" w:type="dxa"/>
            <w:shd w:val="clear" w:color="auto" w:fill="FEF2CC"/>
          </w:tcPr>
          <w:p/>
        </w:tc>
        <w:tc>
          <w:tcPr>
            <w:tcW w:w="1563" w:type="dxa"/>
            <w:shd w:val="clear" w:color="auto" w:fill="FEF2CC"/>
          </w:tcPr>
          <w:p/>
        </w:tc>
        <w:tc>
          <w:tcPr>
            <w:tcW w:w="1559" w:type="dxa"/>
            <w:shd w:val="clear" w:color="auto" w:fill="EBF1DE" w:themeFill="accent3" w:themeFillTint="32"/>
          </w:tcPr>
          <w:p/>
        </w:tc>
        <w:tc>
          <w:tcPr>
            <w:tcW w:w="1564" w:type="dxa"/>
            <w:gridSpan w:val="2"/>
            <w:shd w:val="clear" w:color="auto" w:fill="EBF1DE" w:themeFill="accent3" w:themeFillTint="32"/>
          </w:tcPr>
          <w:p/>
        </w:tc>
        <w:tc>
          <w:tcPr>
            <w:tcW w:w="1554" w:type="dxa"/>
            <w:shd w:val="clear" w:color="auto" w:fill="EBF1DE" w:themeFill="accent3" w:themeFillTint="32"/>
          </w:tcPr>
          <w:p/>
        </w:tc>
        <w:tc>
          <w:tcPr>
            <w:tcW w:w="1701" w:type="dxa"/>
            <w:shd w:val="clear" w:color="auto" w:fill="EBF1DE" w:themeFill="accent3" w:themeFillTint="32"/>
          </w:tcPr>
          <w:p/>
        </w:tc>
      </w:tr>
    </w:tbl>
    <w:p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626352"/>
    <w:rsid w:val="00031598"/>
    <w:rsid w:val="000C5DA6"/>
    <w:rsid w:val="002B1399"/>
    <w:rsid w:val="002B242C"/>
    <w:rsid w:val="00427F54"/>
    <w:rsid w:val="004B2258"/>
    <w:rsid w:val="004B2620"/>
    <w:rsid w:val="004B5B00"/>
    <w:rsid w:val="00520E6E"/>
    <w:rsid w:val="009A2372"/>
    <w:rsid w:val="009D07B2"/>
    <w:rsid w:val="009F472B"/>
    <w:rsid w:val="00A8032A"/>
    <w:rsid w:val="00C455B4"/>
    <w:rsid w:val="00CD1552"/>
    <w:rsid w:val="00DA03CC"/>
    <w:rsid w:val="00E06305"/>
    <w:rsid w:val="00EA39D4"/>
    <w:rsid w:val="00F02BBA"/>
    <w:rsid w:val="00FB0583"/>
    <w:rsid w:val="00FB0A7F"/>
    <w:rsid w:val="0144039E"/>
    <w:rsid w:val="01B157AE"/>
    <w:rsid w:val="01C77A5A"/>
    <w:rsid w:val="02D73E8F"/>
    <w:rsid w:val="068A1FC7"/>
    <w:rsid w:val="06B45738"/>
    <w:rsid w:val="096F462A"/>
    <w:rsid w:val="0B73453B"/>
    <w:rsid w:val="12B6010D"/>
    <w:rsid w:val="13F80A54"/>
    <w:rsid w:val="19FF1E96"/>
    <w:rsid w:val="1B5205DA"/>
    <w:rsid w:val="1B743803"/>
    <w:rsid w:val="21B95299"/>
    <w:rsid w:val="23EC48E8"/>
    <w:rsid w:val="26892C9E"/>
    <w:rsid w:val="283B2E7D"/>
    <w:rsid w:val="2A0E4783"/>
    <w:rsid w:val="2D644A8B"/>
    <w:rsid w:val="2FE74602"/>
    <w:rsid w:val="313A6AE0"/>
    <w:rsid w:val="37833A22"/>
    <w:rsid w:val="3C187D53"/>
    <w:rsid w:val="42131E0F"/>
    <w:rsid w:val="42807E43"/>
    <w:rsid w:val="441F51C9"/>
    <w:rsid w:val="47846151"/>
    <w:rsid w:val="495A0EC6"/>
    <w:rsid w:val="4AAF1DAD"/>
    <w:rsid w:val="4BBE7627"/>
    <w:rsid w:val="4D0462A4"/>
    <w:rsid w:val="4F5E4E61"/>
    <w:rsid w:val="515928F2"/>
    <w:rsid w:val="5168618D"/>
    <w:rsid w:val="519234C5"/>
    <w:rsid w:val="52A60C1C"/>
    <w:rsid w:val="55EA5276"/>
    <w:rsid w:val="56210818"/>
    <w:rsid w:val="58382ACC"/>
    <w:rsid w:val="5872157B"/>
    <w:rsid w:val="59626352"/>
    <w:rsid w:val="5D2F17E0"/>
    <w:rsid w:val="5D350422"/>
    <w:rsid w:val="5EBC7427"/>
    <w:rsid w:val="602E425C"/>
    <w:rsid w:val="615E4474"/>
    <w:rsid w:val="617C220E"/>
    <w:rsid w:val="62662FC0"/>
    <w:rsid w:val="62E03E03"/>
    <w:rsid w:val="63D8221E"/>
    <w:rsid w:val="668640CA"/>
    <w:rsid w:val="6C0A27E7"/>
    <w:rsid w:val="6F6265B9"/>
    <w:rsid w:val="782059F5"/>
    <w:rsid w:val="7E215DA3"/>
    <w:rsid w:val="7E8C6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FollowedHyperlink"/>
    <w:basedOn w:val="4"/>
    <w:qFormat/>
    <w:uiPriority w:val="0"/>
    <w:rPr>
      <w:color w:val="00008B"/>
      <w:u w:val="none"/>
    </w:rPr>
  </w:style>
  <w:style w:type="character" w:styleId="6">
    <w:name w:val="Hyperlink"/>
    <w:basedOn w:val="4"/>
    <w:qFormat/>
    <w:uiPriority w:val="0"/>
    <w:rPr>
      <w:color w:val="00008B"/>
      <w:u w:val="none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4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basedOn w:val="4"/>
    <w:link w:val="2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ng%20Yan\Desktop\&#26032;&#29983;&#30740;&#35752;&#35838;&#20869;&#23481;&#23433;&#25490;0907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新生研讨课内容安排0907.dot</Template>
  <Company>china</Company>
  <Pages>4</Pages>
  <Words>363</Words>
  <Characters>2071</Characters>
  <Lines>17</Lines>
  <Paragraphs>4</Paragraphs>
  <TotalTime>62</TotalTime>
  <ScaleCrop>false</ScaleCrop>
  <LinksUpToDate>false</LinksUpToDate>
  <CharactersWithSpaces>2430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2018-06-25T02:02:00Z</dcterms:created>
  <dc:creator>Zhang Yan</dc:creator>
  <cp:lastModifiedBy>zhang</cp:lastModifiedBy>
  <dcterms:modified xsi:type="dcterms:W3CDTF">2018-09-06T03:08:48Z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