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540" w:lineRule="atLeast"/>
        <w:rPr>
          <w:rFonts w:eastAsia="黑体"/>
        </w:rPr>
      </w:pPr>
      <w:r>
        <w:rPr>
          <w:rFonts w:eastAsia="黑体"/>
        </w:rPr>
        <mc:AlternateContent>
          <mc:Choice Requires="wps">
            <w:drawing>
              <wp:anchor distT="0" distB="0" distL="114300" distR="114300" simplePos="0" relativeHeight="251681792" behindDoc="0" locked="0" layoutInCell="1" allowOverlap="1">
                <wp:simplePos x="0" y="0"/>
                <wp:positionH relativeFrom="page">
                  <wp:posOffset>1008380</wp:posOffset>
                </wp:positionH>
                <wp:positionV relativeFrom="page">
                  <wp:posOffset>935990</wp:posOffset>
                </wp:positionV>
                <wp:extent cx="5544185" cy="734695"/>
                <wp:effectExtent l="0" t="0" r="0" b="889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ln>
                      </wps:spPr>
                      <wps:txbx>
                        <w:txbxContent>
                          <w:p>
                            <w:pPr>
                              <w:adjustRightInd w:val="0"/>
                              <w:snapToGrid w:val="0"/>
                              <w:jc w:val="distribute"/>
                              <w:rPr>
                                <w:rFonts w:eastAsia="方正小标宋简体"/>
                                <w:bCs/>
                                <w:color w:val="FF0000"/>
                                <w:w w:val="90"/>
                                <w:sz w:val="84"/>
                                <w:szCs w:val="84"/>
                              </w:rPr>
                            </w:pPr>
                            <w:r>
                              <w:rPr>
                                <w:rFonts w:hint="eastAsia" w:eastAsia="方正小标宋简体"/>
                                <w:bCs/>
                                <w:color w:val="FF0000"/>
                                <w:w w:val="90"/>
                                <w:sz w:val="84"/>
                                <w:szCs w:val="84"/>
                              </w:rPr>
                              <w:t>中山大学人才发展办公室</w:t>
                            </w:r>
                          </w:p>
                          <w:p/>
                        </w:txbxContent>
                      </wps:txbx>
                      <wps:bodyPr rot="0" vert="horz" wrap="square" lIns="0" tIns="0" rIns="0" bIns="0" anchor="ctr" anchorCtr="0">
                        <a:noAutofit/>
                      </wps:bodyPr>
                    </wps:wsp>
                  </a:graphicData>
                </a:graphic>
              </wp:anchor>
            </w:drawing>
          </mc:Choice>
          <mc:Fallback>
            <w:pict>
              <v:shape id="文本框 2" o:spid="_x0000_s1026" o:spt="202" type="#_x0000_t202" style="position:absolute;left:0pt;margin-left:79.4pt;margin-top:73.7pt;height:57.85pt;width:436.55pt;mso-position-horizontal-relative:page;mso-position-vertical-relative:page;z-index:251681792;v-text-anchor:middle;mso-width-relative:page;mso-height-relative:page;" filled="f" stroked="f" coordsize="21600,21600" o:gfxdata="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RG8JjbAAAADAEAAA8AAAAAAAAAAQAgAAAAIgAAAGRycy9k&#10;b3ducmV2LnhtbFBLAQIUABQAAAAIAIdO4kDM3pTe/wEAAM8DAAAOAAAAAAAAAAEAIAAAACoBAABk&#10;cnMvZTJvRG9jLnhtbFBLBQYAAAAABgAGAFkBAACbBQAAAAA=&#10;">
                <v:fill on="f" focussize="0,0"/>
                <v:stroke on="f" miterlimit="8" joinstyle="miter"/>
                <v:imagedata o:title=""/>
                <o:lock v:ext="edit" aspectratio="f"/>
                <v:textbox inset="0mm,0mm,0mm,0mm">
                  <w:txbxContent>
                    <w:p>
                      <w:pPr>
                        <w:adjustRightInd w:val="0"/>
                        <w:snapToGrid w:val="0"/>
                        <w:jc w:val="distribute"/>
                        <w:rPr>
                          <w:rFonts w:eastAsia="方正小标宋简体"/>
                          <w:bCs/>
                          <w:color w:val="FF0000"/>
                          <w:w w:val="90"/>
                          <w:sz w:val="84"/>
                          <w:szCs w:val="84"/>
                        </w:rPr>
                      </w:pPr>
                      <w:r>
                        <w:rPr>
                          <w:rFonts w:hint="eastAsia" w:eastAsia="方正小标宋简体"/>
                          <w:bCs/>
                          <w:color w:val="FF0000"/>
                          <w:w w:val="90"/>
                          <w:sz w:val="84"/>
                          <w:szCs w:val="84"/>
                        </w:rPr>
                        <w:t>中山大学人才发展办公室</w:t>
                      </w:r>
                    </w:p>
                    <w:p/>
                  </w:txbxContent>
                </v:textbox>
              </v:shape>
            </w:pict>
          </mc:Fallback>
        </mc:AlternateContent>
      </w:r>
    </w:p>
    <w:p>
      <w:pPr>
        <w:adjustRightInd w:val="0"/>
        <w:snapToGrid w:val="0"/>
        <w:spacing w:line="540" w:lineRule="atLeast"/>
        <w:rPr>
          <w:rFonts w:eastAsia="黑体"/>
        </w:rPr>
      </w:pPr>
    </w:p>
    <w:p>
      <w:pPr>
        <w:adjustRightInd w:val="0"/>
        <w:snapToGrid w:val="0"/>
        <w:spacing w:line="540" w:lineRule="atLeast"/>
        <w:jc w:val="right"/>
        <w:rPr>
          <w:rFonts w:ascii="仿宋" w:hAnsi="仿宋" w:eastAsia="仿宋"/>
        </w:rPr>
      </w:pPr>
      <w:bookmarkStart w:id="0" w:name="_GoBack"/>
      <w:r>
        <w:rPr>
          <w:rFonts w:hint="eastAsia" w:ascii="仿宋_GB2312" w:hAnsi="仿宋"/>
        </w:rPr>
        <w:t>人才办〔</w:t>
      </w:r>
      <w:r>
        <w:t>2020</w:t>
      </w:r>
      <w:r>
        <w:rPr>
          <w:rFonts w:hint="eastAsia" w:ascii="仿宋_GB2312" w:hAnsi="仿宋"/>
        </w:rPr>
        <w:t>〕</w:t>
      </w:r>
      <w:r>
        <w:rPr>
          <w:rFonts w:hint="default"/>
          <w:lang w:val="en-US"/>
        </w:rPr>
        <w:t>39</w:t>
      </w:r>
      <w:r>
        <w:rPr>
          <w:rFonts w:hint="eastAsia" w:ascii="仿宋_GB2312" w:hAnsi="仿宋"/>
        </w:rPr>
        <w:t>号</w:t>
      </w:r>
      <w:bookmarkEnd w:id="0"/>
    </w:p>
    <w:p>
      <w:pPr>
        <w:adjustRightInd w:val="0"/>
        <w:snapToGrid w:val="0"/>
        <w:spacing w:line="540" w:lineRule="atLeast"/>
        <w:rPr>
          <w:rFonts w:eastAsia="黑体"/>
        </w:rPr>
      </w:pPr>
    </w:p>
    <w:p>
      <w:pPr>
        <w:adjustRightInd w:val="0"/>
        <w:snapToGrid w:val="0"/>
        <w:spacing w:line="540" w:lineRule="atLeast"/>
        <w:rPr>
          <w:rFonts w:eastAsia="黑体"/>
        </w:rPr>
      </w:pPr>
      <w:r>
        <w:rPr>
          <w:rFonts w:hint="eastAsia" w:eastAsia="黑体"/>
        </w:rPr>
        <mc:AlternateContent>
          <mc:Choice Requires="wps">
            <w:drawing>
              <wp:anchor distT="0" distB="0" distL="114300" distR="114300" simplePos="0" relativeHeight="251686912" behindDoc="0" locked="0" layoutInCell="1" allowOverlap="1">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785.3pt;height:0pt;width:481.9pt;mso-position-horizontal-relative:page;mso-position-vertical-relative:page;z-index:251686912;mso-width-relative:page;mso-height-relative:page;" filled="f" stroked="t" coordsize="21600,21600" o:gfxdata="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JNw+2HXAAAADgEAAA8AAAAAAAAAAQAgAAAAIgAAAGRycy9kb3ducmV2Lnht&#10;bFBLAQIUABQAAAAIAIdO4kB4x5TgwQEAAFMDAAAOAAAAAAAAAAEAIAAAACYBAABkcnMvZTJvRG9j&#10;LnhtbFBLBQYAAAAABgAGAFkBAABZBQAAAAA=&#10;">
                <v:fill on="f" focussize="0,0"/>
                <v:stroke weight="5pt" color="#FF0000 [3204]" linestyle="thinThick" joinstyle="round"/>
                <v:imagedata o:title=""/>
                <o:lock v:ext="edit" aspectratio="f"/>
              </v:line>
            </w:pict>
          </mc:Fallback>
        </mc:AlternateContent>
      </w:r>
      <w:r>
        <w:rPr>
          <w:rFonts w:hint="eastAsia" w:eastAsia="黑体"/>
        </w:rPr>
        <mc:AlternateContent>
          <mc:Choice Requires="wps">
            <w:drawing>
              <wp:anchor distT="0" distB="0" distL="114300" distR="114300" simplePos="0" relativeHeight="251682816" behindDoc="0" locked="0" layoutInCell="1" allowOverlap="1">
                <wp:simplePos x="0" y="0"/>
                <wp:positionH relativeFrom="page">
                  <wp:posOffset>720090</wp:posOffset>
                </wp:positionH>
                <wp:positionV relativeFrom="page">
                  <wp:posOffset>1871980</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147.4pt;height:0pt;width:481.9pt;mso-position-horizontal-relative:page;mso-position-vertical-relative:page;z-index:251682816;mso-width-relative:page;mso-height-relative:page;" filled="f" stroked="t" coordsize="21600,21600" o:gfxdata="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BZSMo91gAAAAwBAAAPAAAAAAAAAAEAIAAAACIAAABkcnMvZG93bnJldi54bWxQ&#10;SwECFAAUAAAACACHTuJAsS7YysABAABTAwAADgAAAAAAAAABACAAAAAlAQAAZHJzL2Uyb0RvYy54&#10;bWxQSwUGAAAAAAYABgBZAQAAVwUAAAAA&#10;">
                <v:fill on="f" focussize="0,0"/>
                <v:stroke weight="5pt" color="#FF0000 [3204]" linestyle="thickThin" joinstyle="round"/>
                <v:imagedata o:title=""/>
                <o:lock v:ext="edit" aspectratio="f"/>
              </v:line>
            </w:pict>
          </mc:Fallback>
        </mc:AlternateContent>
      </w:r>
    </w:p>
    <w:p>
      <w:pPr>
        <w:adjustRightInd w:val="0"/>
        <w:snapToGrid w:val="0"/>
        <w:spacing w:line="540" w:lineRule="atLeast"/>
        <w:jc w:val="center"/>
        <w:rPr>
          <w:rFonts w:ascii="仿宋_GB2312"/>
        </w:rPr>
      </w:pPr>
      <w:r>
        <w:rPr>
          <w:rFonts w:hint="eastAsia" w:ascii="方正小标宋简体" w:eastAsia="方正小标宋简体"/>
          <w:sz w:val="44"/>
        </w:rPr>
        <w:t>人才发展办公室关于开展20</w:t>
      </w:r>
      <w:r>
        <w:rPr>
          <w:rFonts w:ascii="方正小标宋简体" w:eastAsia="方正小标宋简体"/>
          <w:sz w:val="44"/>
        </w:rPr>
        <w:t>20</w:t>
      </w:r>
      <w:r>
        <w:rPr>
          <w:rFonts w:hint="eastAsia" w:ascii="方正小标宋简体" w:eastAsia="方正小标宋简体"/>
          <w:sz w:val="44"/>
        </w:rPr>
        <w:t>年度香江学者计划申报工作的通知</w:t>
      </w:r>
    </w:p>
    <w:p>
      <w:pPr>
        <w:adjustRightInd w:val="0"/>
        <w:snapToGrid w:val="0"/>
        <w:spacing w:line="540" w:lineRule="atLeast"/>
      </w:pPr>
    </w:p>
    <w:p>
      <w:pPr>
        <w:adjustRightInd w:val="0"/>
        <w:snapToGrid w:val="0"/>
        <w:spacing w:line="540" w:lineRule="atLeast"/>
      </w:pPr>
      <w:r>
        <w:rPr>
          <w:rFonts w:hint="eastAsia"/>
        </w:rPr>
        <w:t>各相关院系、附属医院、科研机构：</w:t>
      </w:r>
    </w:p>
    <w:p>
      <w:pPr>
        <w:adjustRightInd w:val="0"/>
        <w:snapToGrid w:val="0"/>
        <w:spacing w:line="540" w:lineRule="atLeast"/>
        <w:ind w:firstLine="624" w:firstLineChars="200"/>
      </w:pPr>
      <w:r>
        <w:rPr>
          <w:rFonts w:hint="eastAsia"/>
        </w:rPr>
        <w:t>为加强博士后创新能力建设，进一步提升博士后国际化水平，根据《全国博士后管委会办公室关于开展2</w:t>
      </w:r>
      <w:r>
        <w:t>020</w:t>
      </w:r>
      <w:r>
        <w:rPr>
          <w:rFonts w:hint="eastAsia"/>
        </w:rPr>
        <w:t>年博士后国（境）外交流项目申报工作的通知》（博管办〔20</w:t>
      </w:r>
      <w:r>
        <w:t>20</w:t>
      </w:r>
      <w:r>
        <w:rPr>
          <w:rFonts w:hint="eastAsia"/>
        </w:rPr>
        <w:t>〕2号）要求，现就有关工作通知如下：</w:t>
      </w:r>
    </w:p>
    <w:p>
      <w:pPr>
        <w:adjustRightInd w:val="0"/>
        <w:snapToGrid w:val="0"/>
        <w:spacing w:line="540" w:lineRule="atLeast"/>
        <w:ind w:firstLine="624" w:firstLineChars="200"/>
        <w:rPr>
          <w:b/>
        </w:rPr>
      </w:pPr>
      <w:r>
        <w:rPr>
          <w:rFonts w:hint="eastAsia"/>
          <w:b/>
        </w:rPr>
        <w:t>一、项目内容</w:t>
      </w:r>
    </w:p>
    <w:p>
      <w:pPr>
        <w:adjustRightInd w:val="0"/>
        <w:snapToGrid w:val="0"/>
        <w:spacing w:line="540" w:lineRule="atLeast"/>
        <w:ind w:firstLine="624" w:firstLineChars="200"/>
      </w:pPr>
      <w:r>
        <w:rPr>
          <w:rFonts w:hint="eastAsia"/>
        </w:rPr>
        <w:t>“香江学者计划”由全国博士后管委会办公室和香港学者协会联合实施。每年选派内地博士到香港指定的大学，在港方合作导师的指导下，以港方大学合约研究人员的身份开展博士后研究，为期2年。资助经费为每人36万元人民币和36万元港币，主要用于支付博士后在港期间的生活开支、住房补助、保险及往返旅费等。</w:t>
      </w:r>
    </w:p>
    <w:p>
      <w:pPr>
        <w:adjustRightInd w:val="0"/>
        <w:snapToGrid w:val="0"/>
        <w:spacing w:line="540" w:lineRule="atLeast"/>
        <w:ind w:firstLine="624" w:firstLineChars="200"/>
      </w:pPr>
      <w:r>
        <w:rPr>
          <w:rFonts w:hint="eastAsia"/>
        </w:rPr>
        <w:t>20</w:t>
      </w:r>
      <w:r>
        <w:t>20</w:t>
      </w:r>
      <w:r>
        <w:rPr>
          <w:rFonts w:hint="eastAsia"/>
        </w:rPr>
        <w:t>年度全国计划资助</w:t>
      </w:r>
      <w:r>
        <w:t>60</w:t>
      </w:r>
      <w:r>
        <w:rPr>
          <w:rFonts w:hint="eastAsia"/>
        </w:rPr>
        <w:t>人。</w:t>
      </w:r>
    </w:p>
    <w:p>
      <w:pPr>
        <w:adjustRightInd w:val="0"/>
        <w:snapToGrid w:val="0"/>
        <w:spacing w:line="540" w:lineRule="atLeast"/>
        <w:ind w:firstLine="624" w:firstLineChars="200"/>
        <w:rPr>
          <w:b/>
        </w:rPr>
      </w:pPr>
      <w:r>
        <w:rPr>
          <w:rFonts w:hint="eastAsia"/>
          <w:b/>
        </w:rPr>
        <w:t>二、申请条件</w:t>
      </w:r>
    </w:p>
    <w:p>
      <w:pPr>
        <w:adjustRightInd w:val="0"/>
        <w:snapToGrid w:val="0"/>
        <w:spacing w:line="540" w:lineRule="atLeast"/>
        <w:ind w:firstLine="624" w:firstLineChars="200"/>
      </w:pPr>
      <w:r>
        <w:rPr>
          <w:rFonts w:hint="eastAsia"/>
        </w:rPr>
        <w:t>1</w:t>
      </w:r>
      <w:r>
        <w:t>.</w:t>
      </w:r>
      <w:r>
        <w:rPr>
          <w:rFonts w:hint="eastAsia"/>
        </w:rPr>
        <w:t>年龄一般不超过35周岁，政治素养良好，思想品德端正,身体健康。</w:t>
      </w:r>
    </w:p>
    <w:p>
      <w:pPr>
        <w:adjustRightInd w:val="0"/>
        <w:snapToGrid w:val="0"/>
        <w:spacing w:line="540" w:lineRule="atLeast"/>
        <w:ind w:firstLine="624" w:firstLineChars="200"/>
      </w:pPr>
      <w:r>
        <w:rPr>
          <w:rFonts w:hint="eastAsia"/>
        </w:rPr>
        <w:t>2</w:t>
      </w:r>
      <w:r>
        <w:t>.</w:t>
      </w:r>
      <w:r>
        <w:rPr>
          <w:rFonts w:hint="eastAsia"/>
        </w:rPr>
        <w:t>申请人应为应届博士毕业生、在站博士后研究人员或在职教学、科研人员（一般应博士毕业3年以内）。</w:t>
      </w:r>
    </w:p>
    <w:p>
      <w:pPr>
        <w:adjustRightInd w:val="0"/>
        <w:snapToGrid w:val="0"/>
        <w:spacing w:line="540" w:lineRule="atLeast"/>
        <w:ind w:firstLine="624" w:firstLineChars="200"/>
      </w:pPr>
      <w:r>
        <w:rPr>
          <w:rFonts w:hint="eastAsia"/>
        </w:rPr>
        <w:t>3</w:t>
      </w:r>
      <w:r>
        <w:t>.</w:t>
      </w:r>
      <w:r>
        <w:rPr>
          <w:rFonts w:hint="eastAsia"/>
        </w:rPr>
        <w:t>具备较高的学术水平和较强的科研能力、创新能力。</w:t>
      </w:r>
    </w:p>
    <w:p>
      <w:pPr>
        <w:adjustRightInd w:val="0"/>
        <w:snapToGrid w:val="0"/>
        <w:spacing w:line="540" w:lineRule="atLeast"/>
        <w:ind w:firstLine="624" w:firstLineChars="200"/>
      </w:pPr>
      <w:r>
        <w:rPr>
          <w:rFonts w:hint="eastAsia"/>
        </w:rPr>
        <w:t>4</w:t>
      </w:r>
      <w:r>
        <w:t>.</w:t>
      </w:r>
      <w:r>
        <w:rPr>
          <w:rFonts w:hint="eastAsia"/>
        </w:rPr>
        <w:t>具备良好的英语水平。</w:t>
      </w:r>
    </w:p>
    <w:p>
      <w:pPr>
        <w:adjustRightInd w:val="0"/>
        <w:snapToGrid w:val="0"/>
        <w:spacing w:line="540" w:lineRule="atLeast"/>
        <w:ind w:firstLine="624" w:firstLineChars="200"/>
      </w:pPr>
      <w:r>
        <w:rPr>
          <w:rFonts w:hint="eastAsia"/>
        </w:rPr>
        <w:t>5</w:t>
      </w:r>
      <w:r>
        <w:t>.</w:t>
      </w:r>
      <w:r>
        <w:rPr>
          <w:rFonts w:hint="eastAsia"/>
        </w:rPr>
        <w:t>能全职在港工作2年。</w:t>
      </w:r>
    </w:p>
    <w:p>
      <w:pPr>
        <w:adjustRightInd w:val="0"/>
        <w:snapToGrid w:val="0"/>
        <w:spacing w:line="540" w:lineRule="atLeast"/>
        <w:ind w:firstLine="624" w:firstLineChars="200"/>
      </w:pPr>
      <w:r>
        <w:rPr>
          <w:rFonts w:hint="eastAsia"/>
        </w:rPr>
        <w:t>6</w:t>
      </w:r>
      <w:r>
        <w:t>.</w:t>
      </w:r>
      <w:r>
        <w:rPr>
          <w:rFonts w:hint="eastAsia"/>
        </w:rPr>
        <w:t>专业领域：基础研究、生物医学、信息技术、农业、新能源、新材料、先进制造、经济学、法学、管理学等。</w:t>
      </w:r>
    </w:p>
    <w:p>
      <w:pPr>
        <w:adjustRightInd w:val="0"/>
        <w:snapToGrid w:val="0"/>
        <w:spacing w:line="540" w:lineRule="atLeast"/>
        <w:ind w:firstLine="624" w:firstLineChars="200"/>
      </w:pPr>
      <w:r>
        <w:rPr>
          <w:rFonts w:hint="eastAsia"/>
        </w:rPr>
        <w:t>7</w:t>
      </w:r>
      <w:r>
        <w:t>.</w:t>
      </w:r>
      <w:r>
        <w:rPr>
          <w:rFonts w:hint="eastAsia"/>
        </w:rPr>
        <w:t>此前未获得过博士后国（境）外交流项目、博士后创新人才支持计划、广东省等博士后人才资助项目。</w:t>
      </w:r>
    </w:p>
    <w:p>
      <w:pPr>
        <w:adjustRightInd w:val="0"/>
        <w:snapToGrid w:val="0"/>
        <w:spacing w:line="540" w:lineRule="atLeast"/>
        <w:ind w:firstLine="624" w:firstLineChars="200"/>
      </w:pPr>
      <w:r>
        <w:rPr>
          <w:rFonts w:hint="eastAsia"/>
        </w:rPr>
        <w:t>8</w:t>
      </w:r>
      <w:r>
        <w:t>.</w:t>
      </w:r>
      <w:r>
        <w:rPr>
          <w:rFonts w:hint="eastAsia"/>
        </w:rPr>
        <w:t>在站博士后人员须经所在单位和合作导师同意。</w:t>
      </w:r>
    </w:p>
    <w:p>
      <w:pPr>
        <w:adjustRightInd w:val="0"/>
        <w:snapToGrid w:val="0"/>
        <w:spacing w:line="540" w:lineRule="atLeast"/>
        <w:ind w:firstLine="624" w:firstLineChars="200"/>
        <w:rPr>
          <w:b/>
        </w:rPr>
      </w:pPr>
      <w:r>
        <w:rPr>
          <w:rFonts w:hint="eastAsia"/>
          <w:b/>
        </w:rPr>
        <w:t>三、申请程序</w:t>
      </w:r>
    </w:p>
    <w:p>
      <w:pPr>
        <w:adjustRightInd w:val="0"/>
        <w:snapToGrid w:val="0"/>
        <w:spacing w:line="540" w:lineRule="atLeast"/>
        <w:ind w:firstLine="624" w:firstLineChars="200"/>
      </w:pPr>
      <w:r>
        <w:rPr>
          <w:rFonts w:hint="eastAsia"/>
        </w:rPr>
        <w:t>（一）申请人提交材料</w:t>
      </w:r>
    </w:p>
    <w:p>
      <w:pPr>
        <w:adjustRightInd w:val="0"/>
        <w:snapToGrid w:val="0"/>
        <w:spacing w:line="540" w:lineRule="atLeast"/>
        <w:ind w:firstLine="624" w:firstLineChars="200"/>
      </w:pPr>
      <w:r>
        <w:rPr>
          <w:rFonts w:hint="eastAsia"/>
        </w:rPr>
        <w:t>申请人登录中国博士后网站“国外境外交流项目”申报系统，查看申报岗位，填写相关信息，生成并打印《香江学者计划申请表》，上传主要证明材料原件扫描件，并将《香江学者计划申请表》及主要证明材料复印件按顺序合订成册，A4幅面，左侧装订，加封面、目录，一式2册，纸质申请材料报送所在单位。</w:t>
      </w:r>
    </w:p>
    <w:p>
      <w:pPr>
        <w:adjustRightInd w:val="0"/>
        <w:snapToGrid w:val="0"/>
        <w:spacing w:line="540" w:lineRule="atLeast"/>
        <w:ind w:firstLine="624" w:firstLineChars="200"/>
      </w:pPr>
      <w:r>
        <w:rPr>
          <w:rFonts w:hint="eastAsia"/>
        </w:rPr>
        <w:t>主要证明材料包括：</w:t>
      </w:r>
    </w:p>
    <w:p>
      <w:pPr>
        <w:adjustRightInd w:val="0"/>
        <w:snapToGrid w:val="0"/>
        <w:spacing w:line="540" w:lineRule="atLeast"/>
        <w:ind w:firstLine="624" w:firstLineChars="200"/>
      </w:pPr>
      <w:r>
        <w:rPr>
          <w:rFonts w:hint="eastAsia"/>
        </w:rPr>
        <w:t>1.有效身份证件复印件。</w:t>
      </w:r>
    </w:p>
    <w:p>
      <w:pPr>
        <w:adjustRightInd w:val="0"/>
        <w:snapToGrid w:val="0"/>
        <w:spacing w:line="540" w:lineRule="atLeast"/>
        <w:ind w:firstLine="624" w:firstLineChars="200"/>
      </w:pPr>
      <w:r>
        <w:rPr>
          <w:rFonts w:hint="eastAsia"/>
        </w:rPr>
        <w:t>2</w:t>
      </w:r>
      <w:r>
        <w:t>.</w:t>
      </w:r>
      <w:r>
        <w:rPr>
          <w:rFonts w:hint="eastAsia"/>
        </w:rPr>
        <w:t>博士学位证书或答辩决议书。应届博士毕业生如还未进行答辩，可先申报，在办理进站手续时提供博士学位证书。</w:t>
      </w:r>
    </w:p>
    <w:p>
      <w:pPr>
        <w:adjustRightInd w:val="0"/>
        <w:snapToGrid w:val="0"/>
        <w:spacing w:line="540" w:lineRule="atLeast"/>
        <w:ind w:firstLine="624" w:firstLineChars="200"/>
      </w:pPr>
      <w:r>
        <w:rPr>
          <w:rFonts w:hint="eastAsia"/>
        </w:rPr>
        <w:t>3.代表个人最高水平的学术及科研成果材料。论文提供摘要及收录检索证明，专利或奖励提供证书，专著提供封面、目录和摘要。</w:t>
      </w:r>
    </w:p>
    <w:p>
      <w:pPr>
        <w:adjustRightInd w:val="0"/>
        <w:snapToGrid w:val="0"/>
        <w:spacing w:line="540" w:lineRule="atLeast"/>
        <w:ind w:firstLine="624" w:firstLineChars="200"/>
      </w:pPr>
      <w:r>
        <w:rPr>
          <w:rFonts w:hint="eastAsia"/>
        </w:rPr>
        <w:t>（二）申请人所在单位审核</w:t>
      </w:r>
    </w:p>
    <w:p>
      <w:pPr>
        <w:adjustRightInd w:val="0"/>
        <w:snapToGrid w:val="0"/>
        <w:spacing w:line="540" w:lineRule="atLeast"/>
        <w:ind w:firstLine="624" w:firstLineChars="200"/>
      </w:pPr>
      <w:r>
        <w:rPr>
          <w:rFonts w:hint="eastAsia"/>
        </w:rPr>
        <w:t>各单位汇总、审核申请材料，并于2</w:t>
      </w:r>
      <w:r>
        <w:t>020</w:t>
      </w:r>
      <w:r>
        <w:rPr>
          <w:rFonts w:hint="eastAsia"/>
        </w:rPr>
        <w:t>年3月2日前将纸质版申请材料（一式2册）和《香江学者计划申报汇总表》（附件1）提交至学校人才发展办公室发展评价科中山楼508室，电子版《香江学者计划申报汇总表》发送到邮箱postdoct@mail.sysu.edu.cn。</w:t>
      </w:r>
    </w:p>
    <w:p>
      <w:pPr>
        <w:adjustRightInd w:val="0"/>
        <w:snapToGrid w:val="0"/>
        <w:spacing w:line="540" w:lineRule="atLeast"/>
        <w:ind w:firstLine="624" w:firstLineChars="200"/>
      </w:pPr>
      <w:r>
        <w:rPr>
          <w:rFonts w:hint="eastAsia"/>
        </w:rPr>
        <w:t>（三）遴选方式</w:t>
      </w:r>
    </w:p>
    <w:p>
      <w:pPr>
        <w:adjustRightInd w:val="0"/>
        <w:snapToGrid w:val="0"/>
        <w:spacing w:line="540" w:lineRule="atLeast"/>
        <w:ind w:firstLine="624" w:firstLineChars="200"/>
      </w:pPr>
      <w:r>
        <w:rPr>
          <w:rFonts w:hint="eastAsia"/>
        </w:rPr>
        <w:t>全国博士后管委会办公室、中国博士后科学基金会组织第一轮专家评审并确定不超过1</w:t>
      </w:r>
      <w:r>
        <w:t>20</w:t>
      </w:r>
      <w:r>
        <w:rPr>
          <w:rFonts w:hint="eastAsia"/>
        </w:rPr>
        <w:t>名候选人；港方对候选人进行第二轮专家评审并确定不超过6</w:t>
      </w:r>
      <w:r>
        <w:t>0</w:t>
      </w:r>
      <w:r>
        <w:rPr>
          <w:rFonts w:hint="eastAsia"/>
        </w:rPr>
        <w:t>名获选人员。第一轮评审结果拟于2</w:t>
      </w:r>
      <w:r>
        <w:t>020</w:t>
      </w:r>
      <w:r>
        <w:rPr>
          <w:rFonts w:hint="eastAsia"/>
        </w:rPr>
        <w:t>年5月在申报系统发布，全国博士后管委会办公室拟于2</w:t>
      </w:r>
      <w:r>
        <w:t>020</w:t>
      </w:r>
      <w:r>
        <w:rPr>
          <w:rFonts w:hint="eastAsia"/>
        </w:rPr>
        <w:t>年7月对评审结果进行核准并印发资助通知。</w:t>
      </w:r>
    </w:p>
    <w:p>
      <w:pPr>
        <w:adjustRightInd w:val="0"/>
        <w:snapToGrid w:val="0"/>
        <w:spacing w:line="540" w:lineRule="atLeast"/>
        <w:ind w:firstLine="624" w:firstLineChars="200"/>
        <w:rPr>
          <w:b/>
        </w:rPr>
      </w:pPr>
      <w:r>
        <w:rPr>
          <w:rFonts w:hint="eastAsia"/>
          <w:b/>
        </w:rPr>
        <w:t>四、注意事项</w:t>
      </w:r>
    </w:p>
    <w:p>
      <w:pPr>
        <w:adjustRightInd w:val="0"/>
        <w:snapToGrid w:val="0"/>
        <w:spacing w:line="540" w:lineRule="exact"/>
        <w:ind w:firstLine="612" w:firstLineChars="196"/>
      </w:pPr>
      <w:r>
        <w:rPr>
          <w:rFonts w:hint="eastAsia"/>
        </w:rPr>
        <w:t>1.各单位注意时间节点，应将申请材料于申报截止之日前提交，逾期不再受理。</w:t>
      </w:r>
    </w:p>
    <w:p>
      <w:pPr>
        <w:adjustRightInd w:val="0"/>
        <w:snapToGrid w:val="0"/>
        <w:spacing w:line="540" w:lineRule="exact"/>
        <w:ind w:firstLine="612" w:firstLineChars="196"/>
      </w:pPr>
      <w:r>
        <w:rPr>
          <w:rFonts w:hint="eastAsia"/>
        </w:rPr>
        <w:t>2.获资助人员须在获选通知印发之日起6个月内赴港开始博士后研究工作，否则视为自动放弃。</w:t>
      </w:r>
    </w:p>
    <w:p>
      <w:pPr>
        <w:adjustRightInd w:val="0"/>
        <w:snapToGrid w:val="0"/>
        <w:spacing w:line="540" w:lineRule="exact"/>
        <w:ind w:firstLine="612" w:firstLineChars="196"/>
      </w:pPr>
      <w:r>
        <w:rPr>
          <w:rFonts w:hint="eastAsia"/>
        </w:rPr>
        <w:t>3.获资助人员按照《全国博士后管委会办公室关于印发博士后国际交流计划实施细则的通知》（博管办〔2013〕77号）和《关于印发“香江学者计划”实施细则的通知》（博管办〔2011〕92号）中的有关规定管理。</w:t>
      </w:r>
    </w:p>
    <w:p>
      <w:pPr>
        <w:adjustRightInd w:val="0"/>
        <w:snapToGrid w:val="0"/>
        <w:spacing w:line="540" w:lineRule="exact"/>
        <w:ind w:firstLine="612" w:firstLineChars="196"/>
      </w:pPr>
      <w:r>
        <w:rPr>
          <w:rFonts w:hint="eastAsia"/>
        </w:rPr>
        <w:t>4.“香江学者计划”与“澳门青年学者计划”项目岗位同期发布，由全国博士后管委会办公室、中国博士后科学基金会同期组织第一轮专家评审。申请人可同时申报 “香江学者计划”与“澳门青年学者计划”，但申报的项目岗位须属于同一一级学科。</w:t>
      </w:r>
    </w:p>
    <w:p>
      <w:pPr>
        <w:adjustRightInd w:val="0"/>
        <w:snapToGrid w:val="0"/>
        <w:spacing w:line="540" w:lineRule="exact"/>
        <w:ind w:firstLine="612" w:firstLineChars="196"/>
      </w:pPr>
      <w:r>
        <w:rPr>
          <w:rFonts w:hint="eastAsia"/>
        </w:rPr>
        <w:t>5.申报时未提交博士学位证书的获资助人员，进站时设站单位应核实其学位证书。如无学位证书，应报全国博士后管委会办公室取消其获选资格，不得办理进站手续。</w:t>
      </w:r>
    </w:p>
    <w:p>
      <w:pPr>
        <w:adjustRightInd w:val="0"/>
        <w:snapToGrid w:val="0"/>
        <w:spacing w:line="540" w:lineRule="exact"/>
        <w:ind w:firstLine="612" w:firstLineChars="196"/>
      </w:pPr>
      <w:r>
        <w:rPr>
          <w:rFonts w:hint="eastAsia"/>
        </w:rPr>
        <w:t>6</w:t>
      </w:r>
      <w:r>
        <w:t>.</w:t>
      </w:r>
      <w:r>
        <w:rPr>
          <w:rFonts w:hint="eastAsia"/>
        </w:rPr>
        <w:t>如获资助人员放弃资助或退站，须将剩余经费及时退回。</w:t>
      </w:r>
    </w:p>
    <w:p>
      <w:pPr>
        <w:adjustRightInd w:val="0"/>
        <w:snapToGrid w:val="0"/>
        <w:spacing w:line="540" w:lineRule="exact"/>
        <w:ind w:firstLine="645"/>
        <w:rPr>
          <w:rFonts w:ascii="仿宋_GB2312"/>
          <w:szCs w:val="32"/>
        </w:rPr>
      </w:pPr>
      <w:r>
        <w:rPr>
          <w:rFonts w:hint="eastAsia" w:ascii="仿宋_GB2312"/>
          <w:szCs w:val="32"/>
        </w:rPr>
        <w:t>特此通知。</w:t>
      </w:r>
    </w:p>
    <w:p>
      <w:pPr>
        <w:adjustRightInd w:val="0"/>
        <w:snapToGrid w:val="0"/>
        <w:spacing w:line="540" w:lineRule="exact"/>
        <w:ind w:firstLine="624" w:firstLineChars="200"/>
        <w:rPr>
          <w:rFonts w:ascii="仿宋_GB2312"/>
          <w:szCs w:val="32"/>
        </w:rPr>
      </w:pPr>
    </w:p>
    <w:p>
      <w:pPr>
        <w:adjustRightInd w:val="0"/>
        <w:snapToGrid w:val="0"/>
        <w:spacing w:line="540" w:lineRule="exact"/>
        <w:ind w:firstLine="624" w:firstLineChars="200"/>
        <w:rPr>
          <w:rFonts w:ascii="仿宋_GB2312"/>
          <w:szCs w:val="32"/>
        </w:rPr>
      </w:pPr>
      <w:r>
        <w:rPr>
          <w:rFonts w:hint="eastAsia" w:ascii="仿宋_GB2312"/>
          <w:szCs w:val="32"/>
        </w:rPr>
        <w:t>附件：香江学者计划申报汇总表</w:t>
      </w:r>
    </w:p>
    <w:p>
      <w:pPr>
        <w:adjustRightInd w:val="0"/>
        <w:snapToGrid w:val="0"/>
        <w:spacing w:line="540" w:lineRule="exact"/>
        <w:jc w:val="right"/>
        <w:rPr>
          <w:rFonts w:ascii="仿宋_GB2312"/>
          <w:szCs w:val="32"/>
        </w:rPr>
      </w:pPr>
    </w:p>
    <w:p>
      <w:pPr>
        <w:adjustRightInd w:val="0"/>
        <w:snapToGrid w:val="0"/>
        <w:spacing w:line="540" w:lineRule="exact"/>
        <w:jc w:val="right"/>
        <w:rPr>
          <w:rFonts w:ascii="仿宋_GB2312"/>
          <w:szCs w:val="32"/>
        </w:rPr>
      </w:pPr>
    </w:p>
    <w:p>
      <w:pPr>
        <w:adjustRightInd w:val="0"/>
        <w:snapToGrid w:val="0"/>
        <w:spacing w:line="540" w:lineRule="exact"/>
        <w:jc w:val="right"/>
        <w:rPr>
          <w:rFonts w:ascii="仿宋_GB2312"/>
          <w:szCs w:val="32"/>
        </w:rPr>
      </w:pPr>
    </w:p>
    <w:p>
      <w:pPr>
        <w:wordWrap w:val="0"/>
        <w:adjustRightInd w:val="0"/>
        <w:snapToGrid w:val="0"/>
        <w:spacing w:line="540" w:lineRule="exact"/>
        <w:ind w:right="624"/>
        <w:jc w:val="right"/>
        <w:rPr>
          <w:rFonts w:ascii="仿宋_GB2312"/>
          <w:szCs w:val="32"/>
        </w:rPr>
      </w:pPr>
      <w:r>
        <w:rPr>
          <w:rFonts w:hint="eastAsia" w:ascii="仿宋_GB2312"/>
          <w:szCs w:val="32"/>
        </w:rPr>
        <w:t>人才发展办公室</w:t>
      </w:r>
      <w:r>
        <w:rPr>
          <w:rFonts w:ascii="仿宋_GB2312"/>
          <w:szCs w:val="32"/>
        </w:rPr>
        <w:t xml:space="preserve"> </w:t>
      </w:r>
    </w:p>
    <w:p>
      <w:pPr>
        <w:wordWrap w:val="0"/>
        <w:adjustRightInd w:val="0"/>
        <w:snapToGrid w:val="0"/>
        <w:spacing w:line="540" w:lineRule="exact"/>
        <w:jc w:val="right"/>
        <w:rPr>
          <w:rFonts w:ascii="仿宋_GB2312"/>
          <w:szCs w:val="32"/>
        </w:rPr>
      </w:pPr>
      <w:r>
        <w:rPr>
          <w:rFonts w:hint="eastAsia" w:ascii="仿宋_GB2312"/>
          <w:szCs w:val="32"/>
        </w:rPr>
        <w:t>2020年1月</w:t>
      </w:r>
      <w:r>
        <w:rPr>
          <w:rFonts w:ascii="仿宋_GB2312"/>
          <w:szCs w:val="32"/>
        </w:rPr>
        <w:t>20</w:t>
      </w:r>
      <w:r>
        <w:rPr>
          <w:rFonts w:hint="eastAsia" w:ascii="仿宋_GB2312"/>
          <w:szCs w:val="32"/>
        </w:rPr>
        <w:t xml:space="preserve">日    </w:t>
      </w:r>
    </w:p>
    <w:p>
      <w:pPr>
        <w:adjustRightInd w:val="0"/>
        <w:snapToGrid w:val="0"/>
        <w:spacing w:line="540" w:lineRule="exact"/>
        <w:ind w:firstLine="5304" w:firstLineChars="1700"/>
        <w:rPr>
          <w:rFonts w:ascii="仿宋_GB2312"/>
          <w:szCs w:val="32"/>
        </w:rPr>
      </w:pPr>
    </w:p>
    <w:p>
      <w:pPr>
        <w:adjustRightInd w:val="0"/>
        <w:snapToGrid w:val="0"/>
        <w:spacing w:line="540" w:lineRule="exact"/>
        <w:jc w:val="left"/>
        <w:rPr>
          <w:rFonts w:ascii="仿宋_GB2312"/>
          <w:szCs w:val="32"/>
        </w:rPr>
      </w:pPr>
      <w:r>
        <w:rPr>
          <w:rFonts w:hint="eastAsia" w:ascii="仿宋_GB2312"/>
          <w:szCs w:val="32"/>
        </w:rPr>
        <w:t>（联系人：王静、林天杰，联系电话：020-84112914,020-84111783）</w:t>
      </w:r>
    </w:p>
    <w:p>
      <w:pPr>
        <w:adjustRightInd w:val="0"/>
        <w:snapToGrid w:val="0"/>
        <w:spacing w:line="540" w:lineRule="atLeast"/>
        <w:ind w:firstLine="624" w:firstLineChars="200"/>
        <w:rPr>
          <w:rFonts w:eastAsia="黑体"/>
        </w:rPr>
      </w:pPr>
    </w:p>
    <w:sectPr>
      <w:footerReference r:id="rId3" w:type="default"/>
      <w:footerReference r:id="rId4" w:type="even"/>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230FB74B-31CC-4194-9637-67A90225ED18}"/>
  </w:font>
  <w:font w:name="Arial">
    <w:panose1 w:val="020B0604020202020204"/>
    <w:charset w:val="01"/>
    <w:family w:val="swiss"/>
    <w:pitch w:val="default"/>
    <w:sig w:usb0="E0002AFF" w:usb1="C0007843" w:usb2="00000009" w:usb3="00000000" w:csb0="400001FF" w:csb1="FFFF0000"/>
    <w:embedRegular r:id="rId2" w:fontKey="{D975B70E-26BE-46A7-A296-E4BCB709F412}"/>
  </w:font>
  <w:font w:name="黑体">
    <w:panose1 w:val="02010609060101010101"/>
    <w:charset w:val="86"/>
    <w:family w:val="auto"/>
    <w:pitch w:val="default"/>
    <w:sig w:usb0="800002BF" w:usb1="38CF7CFA" w:usb2="00000016" w:usb3="00000000" w:csb0="00040001" w:csb1="00000000"/>
    <w:embedRegular r:id="rId3" w:fontKey="{517078F3-7927-4B84-A903-E80A3DEE4858}"/>
  </w:font>
  <w:font w:name="Courier New">
    <w:panose1 w:val="02070309020205020404"/>
    <w:charset w:val="01"/>
    <w:family w:val="modern"/>
    <w:pitch w:val="default"/>
    <w:sig w:usb0="E0002AFF" w:usb1="C0007843" w:usb2="00000009" w:usb3="00000000" w:csb0="400001FF" w:csb1="FFFF0000"/>
    <w:embedRegular r:id="rId4" w:fontKey="{E49FCD9D-CD7A-492E-AECF-7D26AE0DB779}"/>
  </w:font>
  <w:font w:name="Symbol">
    <w:panose1 w:val="05050102010706020507"/>
    <w:charset w:val="02"/>
    <w:family w:val="roman"/>
    <w:pitch w:val="default"/>
    <w:sig w:usb0="00000000" w:usb1="00000000" w:usb2="00000000" w:usb3="00000000" w:csb0="80000000" w:csb1="00000000"/>
    <w:embedRegular r:id="rId5" w:fontKey="{31A5EF54-F696-4228-AD53-BDD83D023995}"/>
  </w:font>
  <w:font w:name="Calibri">
    <w:panose1 w:val="020F0502020204030204"/>
    <w:charset w:val="00"/>
    <w:family w:val="swiss"/>
    <w:pitch w:val="default"/>
    <w:sig w:usb0="E00002FF" w:usb1="4000ACFF" w:usb2="00000001" w:usb3="00000000" w:csb0="2000019F" w:csb1="00000000"/>
    <w:embedRegular r:id="rId6" w:fontKey="{8C85455F-6FA5-4404-936D-CC22078BC432}"/>
  </w:font>
  <w:font w:name="仿宋_GB2312">
    <w:panose1 w:val="02010609030101010101"/>
    <w:charset w:val="86"/>
    <w:family w:val="modern"/>
    <w:pitch w:val="default"/>
    <w:sig w:usb0="00000000" w:usb1="00000000" w:usb2="00000000" w:usb3="00000000" w:csb0="00000000" w:csb1="00000000"/>
    <w:embedRegular r:id="rId7" w:fontKey="{3555DC3C-06D0-4FFB-8F11-D5D5E1A69632}"/>
  </w:font>
  <w:font w:name="方正小标宋简体">
    <w:panose1 w:val="03000509000000000000"/>
    <w:charset w:val="86"/>
    <w:family w:val="script"/>
    <w:pitch w:val="default"/>
    <w:sig w:usb0="00000001" w:usb1="080E0000" w:usb2="00000000" w:usb3="00000000" w:csb0="00040000" w:csb1="00000000"/>
    <w:embedRegular r:id="rId8" w:fontKey="{CF1DB2E5-29BD-4101-BA16-81E6B1E919F3}"/>
  </w:font>
  <w:font w:name="仿宋">
    <w:panose1 w:val="02010609060101010101"/>
    <w:charset w:val="86"/>
    <w:family w:val="modern"/>
    <w:pitch w:val="default"/>
    <w:sig w:usb0="800002BF" w:usb1="38CF7CFA" w:usb2="00000016" w:usb3="00000000" w:csb0="00040001" w:csb1="00000000"/>
    <w:embedRegular r:id="rId9" w:fontKey="{BB58BEDB-80FC-42FF-9EBF-F9D2314C324A}"/>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22060138"/>
      <w:docPartObj>
        <w:docPartGallery w:val="AutoText"/>
      </w:docPartObj>
    </w:sdtPr>
    <w:sdtEndPr>
      <w:rPr>
        <w:rFonts w:ascii="Times New Roman" w:hAnsi="Times New Roman" w:cs="Times New Roman"/>
        <w:sz w:val="28"/>
        <w:szCs w:val="28"/>
      </w:rPr>
    </w:sdtEndPr>
    <w:sdtContent>
      <w:p>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25646346"/>
      <w:docPartObj>
        <w:docPartGallery w:val="AutoText"/>
      </w:docPartObj>
    </w:sdtPr>
    <w:sdtEndPr>
      <w:rPr>
        <w:rFonts w:ascii="Times New Roman" w:hAnsi="Times New Roman" w:cs="Times New Roman"/>
        <w:sz w:val="28"/>
        <w:szCs w:val="28"/>
      </w:rPr>
    </w:sdtEndPr>
    <w:sdtContent>
      <w:p>
        <w:pPr>
          <w:pStyle w:val="5"/>
          <w:ind w:firstLine="270" w:firstLineChars="15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00"/>
  <w:doNotDisplayPageBoundaries w:val="1"/>
  <w:embedTrueTypeFonts/>
  <w:bordersDoNotSurroundHeader w:val="1"/>
  <w:bordersDoNotSurroundFooter w:val="1"/>
  <w:attachedTemplate r:id="rId1"/>
  <w:trackRevisions w:val="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2919"/>
    <w:rsid w:val="000044A0"/>
    <w:rsid w:val="000163ED"/>
    <w:rsid w:val="00030B15"/>
    <w:rsid w:val="00047AA4"/>
    <w:rsid w:val="0009424A"/>
    <w:rsid w:val="000D6A64"/>
    <w:rsid w:val="000E3BC9"/>
    <w:rsid w:val="001001BF"/>
    <w:rsid w:val="00111158"/>
    <w:rsid w:val="00122740"/>
    <w:rsid w:val="00134E82"/>
    <w:rsid w:val="00137BA5"/>
    <w:rsid w:val="00146A6A"/>
    <w:rsid w:val="00167A1D"/>
    <w:rsid w:val="00180691"/>
    <w:rsid w:val="00192A77"/>
    <w:rsid w:val="001A15AC"/>
    <w:rsid w:val="001A4D7B"/>
    <w:rsid w:val="001B2074"/>
    <w:rsid w:val="001C4193"/>
    <w:rsid w:val="001C6C10"/>
    <w:rsid w:val="001E46D7"/>
    <w:rsid w:val="00216360"/>
    <w:rsid w:val="00221B66"/>
    <w:rsid w:val="002250F1"/>
    <w:rsid w:val="00226079"/>
    <w:rsid w:val="00251D5E"/>
    <w:rsid w:val="00255631"/>
    <w:rsid w:val="00262190"/>
    <w:rsid w:val="00262F8B"/>
    <w:rsid w:val="00265CBA"/>
    <w:rsid w:val="00277256"/>
    <w:rsid w:val="002C5ADC"/>
    <w:rsid w:val="002D2105"/>
    <w:rsid w:val="002E2A09"/>
    <w:rsid w:val="002F0783"/>
    <w:rsid w:val="0030202D"/>
    <w:rsid w:val="00310A7F"/>
    <w:rsid w:val="00330A72"/>
    <w:rsid w:val="003539FC"/>
    <w:rsid w:val="00387133"/>
    <w:rsid w:val="0039201A"/>
    <w:rsid w:val="003A3701"/>
    <w:rsid w:val="003C4BE5"/>
    <w:rsid w:val="003D2FE4"/>
    <w:rsid w:val="003D4369"/>
    <w:rsid w:val="003F011C"/>
    <w:rsid w:val="003F48E2"/>
    <w:rsid w:val="00406824"/>
    <w:rsid w:val="00445496"/>
    <w:rsid w:val="004547EE"/>
    <w:rsid w:val="00455838"/>
    <w:rsid w:val="00465033"/>
    <w:rsid w:val="00470269"/>
    <w:rsid w:val="00484FE5"/>
    <w:rsid w:val="004C5FBC"/>
    <w:rsid w:val="004F3591"/>
    <w:rsid w:val="004F6128"/>
    <w:rsid w:val="00590E94"/>
    <w:rsid w:val="005A02CB"/>
    <w:rsid w:val="005A4719"/>
    <w:rsid w:val="005C6E82"/>
    <w:rsid w:val="005D0F23"/>
    <w:rsid w:val="00615C67"/>
    <w:rsid w:val="00631B8E"/>
    <w:rsid w:val="00633F67"/>
    <w:rsid w:val="00640522"/>
    <w:rsid w:val="00661207"/>
    <w:rsid w:val="00680E17"/>
    <w:rsid w:val="00745D45"/>
    <w:rsid w:val="007C31B7"/>
    <w:rsid w:val="007D292A"/>
    <w:rsid w:val="007D2BC8"/>
    <w:rsid w:val="007F1A60"/>
    <w:rsid w:val="00804651"/>
    <w:rsid w:val="00812A08"/>
    <w:rsid w:val="008171B0"/>
    <w:rsid w:val="0082173F"/>
    <w:rsid w:val="0085406F"/>
    <w:rsid w:val="00855E17"/>
    <w:rsid w:val="0086691F"/>
    <w:rsid w:val="00885C5E"/>
    <w:rsid w:val="00886BF3"/>
    <w:rsid w:val="008A57A9"/>
    <w:rsid w:val="008A7B50"/>
    <w:rsid w:val="008B31D1"/>
    <w:rsid w:val="008F44B5"/>
    <w:rsid w:val="00900508"/>
    <w:rsid w:val="009007FF"/>
    <w:rsid w:val="009106E6"/>
    <w:rsid w:val="009C4BC7"/>
    <w:rsid w:val="009E1217"/>
    <w:rsid w:val="009E6AFC"/>
    <w:rsid w:val="00A14F7B"/>
    <w:rsid w:val="00A25DC7"/>
    <w:rsid w:val="00A64785"/>
    <w:rsid w:val="00A72919"/>
    <w:rsid w:val="00A915EA"/>
    <w:rsid w:val="00A929EF"/>
    <w:rsid w:val="00A94139"/>
    <w:rsid w:val="00AB7102"/>
    <w:rsid w:val="00AD481C"/>
    <w:rsid w:val="00AF18DA"/>
    <w:rsid w:val="00AF2D96"/>
    <w:rsid w:val="00B1657A"/>
    <w:rsid w:val="00B360BA"/>
    <w:rsid w:val="00B450EC"/>
    <w:rsid w:val="00B647F4"/>
    <w:rsid w:val="00BD0D4A"/>
    <w:rsid w:val="00BD0D5D"/>
    <w:rsid w:val="00BF3C6E"/>
    <w:rsid w:val="00BF7B90"/>
    <w:rsid w:val="00C01E6A"/>
    <w:rsid w:val="00C143EB"/>
    <w:rsid w:val="00C17A79"/>
    <w:rsid w:val="00C30E21"/>
    <w:rsid w:val="00CB1DFF"/>
    <w:rsid w:val="00CC443F"/>
    <w:rsid w:val="00CE1C58"/>
    <w:rsid w:val="00CF1AE6"/>
    <w:rsid w:val="00D0318A"/>
    <w:rsid w:val="00D12D05"/>
    <w:rsid w:val="00D27289"/>
    <w:rsid w:val="00D65E9F"/>
    <w:rsid w:val="00D778B2"/>
    <w:rsid w:val="00D867AE"/>
    <w:rsid w:val="00D9127E"/>
    <w:rsid w:val="00DC224A"/>
    <w:rsid w:val="00DD0D46"/>
    <w:rsid w:val="00DD29A6"/>
    <w:rsid w:val="00DE0EBC"/>
    <w:rsid w:val="00DE1946"/>
    <w:rsid w:val="00DE26DE"/>
    <w:rsid w:val="00DF07D8"/>
    <w:rsid w:val="00DF149D"/>
    <w:rsid w:val="00E04624"/>
    <w:rsid w:val="00E11B7E"/>
    <w:rsid w:val="00E24535"/>
    <w:rsid w:val="00E34E53"/>
    <w:rsid w:val="00E366C5"/>
    <w:rsid w:val="00E47A39"/>
    <w:rsid w:val="00E546B9"/>
    <w:rsid w:val="00E75094"/>
    <w:rsid w:val="00E81587"/>
    <w:rsid w:val="00E85A0E"/>
    <w:rsid w:val="00E877E1"/>
    <w:rsid w:val="00EE479A"/>
    <w:rsid w:val="00EF0F70"/>
    <w:rsid w:val="00EF3A7A"/>
    <w:rsid w:val="00F10BD3"/>
    <w:rsid w:val="00F27225"/>
    <w:rsid w:val="00F34512"/>
    <w:rsid w:val="00F40255"/>
    <w:rsid w:val="00F52ABD"/>
    <w:rsid w:val="00FC3FDF"/>
    <w:rsid w:val="00FD561B"/>
    <w:rsid w:val="00FE24A2"/>
    <w:rsid w:val="00FE37CC"/>
    <w:rsid w:val="00FF1E97"/>
    <w:rsid w:val="1ADA22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nhideWhenUsed="0" w:uiPriority="0" w:semiHidden="0" w:name="Body Text"/>
    <w:lsdException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9">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Body Text"/>
    <w:basedOn w:val="1"/>
    <w:link w:val="15"/>
    <w:uiPriority w:val="0"/>
    <w:pPr>
      <w:adjustRightInd w:val="0"/>
      <w:snapToGrid w:val="0"/>
      <w:spacing w:line="500" w:lineRule="atLeast"/>
    </w:pPr>
    <w:rPr>
      <w:rFonts w:ascii="宋体"/>
      <w:bCs/>
      <w:sz w:val="28"/>
    </w:rPr>
  </w:style>
  <w:style w:type="paragraph" w:styleId="3">
    <w:name w:val="Body Text Indent"/>
    <w:basedOn w:val="1"/>
    <w:link w:val="14"/>
    <w:uiPriority w:val="0"/>
    <w:pPr>
      <w:adjustRightInd w:val="0"/>
      <w:snapToGrid w:val="0"/>
      <w:spacing w:line="460" w:lineRule="atLeast"/>
      <w:ind w:firstLine="461" w:firstLineChars="192"/>
    </w:pPr>
    <w:rPr>
      <w:sz w:val="24"/>
    </w:rPr>
  </w:style>
  <w:style w:type="paragraph" w:styleId="4">
    <w:name w:val="Balloon Text"/>
    <w:basedOn w:val="1"/>
    <w:link w:val="16"/>
    <w:semiHidden/>
    <w:unhideWhenUsed/>
    <w:uiPriority w:val="99"/>
    <w:rPr>
      <w:sz w:val="18"/>
      <w:szCs w:val="18"/>
    </w:rPr>
  </w:style>
  <w:style w:type="paragraph" w:styleId="5">
    <w:name w:val="footer"/>
    <w:basedOn w:val="1"/>
    <w:link w:val="13"/>
    <w:unhideWhenUsed/>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6">
    <w:name w:val="header"/>
    <w:basedOn w:val="1"/>
    <w:link w:val="12"/>
    <w:unhideWhenUsed/>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table" w:styleId="8">
    <w:name w:val="Table Grid"/>
    <w:basedOn w:val="7"/>
    <w:uiPriority w:val="5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line number"/>
    <w:basedOn w:val="9"/>
    <w:semiHidden/>
    <w:unhideWhenUsed/>
    <w:uiPriority w:val="99"/>
  </w:style>
  <w:style w:type="character" w:styleId="11">
    <w:name w:val="Hyperlink"/>
    <w:basedOn w:val="9"/>
    <w:unhideWhenUsed/>
    <w:uiPriority w:val="99"/>
    <w:rPr>
      <w:color w:val="0000FF" w:themeColor="hyperlink"/>
      <w:u w:val="single"/>
      <w14:textFill>
        <w14:solidFill>
          <w14:schemeClr w14:val="hlink"/>
        </w14:solidFill>
      </w14:textFill>
    </w:rPr>
  </w:style>
  <w:style w:type="character" w:customStyle="1" w:styleId="12">
    <w:name w:val="页眉 字符"/>
    <w:basedOn w:val="9"/>
    <w:link w:val="6"/>
    <w:uiPriority w:val="99"/>
    <w:rPr>
      <w:sz w:val="18"/>
      <w:szCs w:val="18"/>
    </w:rPr>
  </w:style>
  <w:style w:type="character" w:customStyle="1" w:styleId="13">
    <w:name w:val="页脚 字符"/>
    <w:basedOn w:val="9"/>
    <w:link w:val="5"/>
    <w:uiPriority w:val="99"/>
    <w:rPr>
      <w:sz w:val="18"/>
      <w:szCs w:val="18"/>
    </w:rPr>
  </w:style>
  <w:style w:type="character" w:customStyle="1" w:styleId="14">
    <w:name w:val="正文文本缩进 字符"/>
    <w:basedOn w:val="9"/>
    <w:link w:val="3"/>
    <w:uiPriority w:val="0"/>
    <w:rPr>
      <w:rFonts w:ascii="Times New Roman" w:hAnsi="Times New Roman" w:eastAsia="宋体" w:cs="Times New Roman"/>
      <w:sz w:val="24"/>
      <w:szCs w:val="24"/>
    </w:rPr>
  </w:style>
  <w:style w:type="character" w:customStyle="1" w:styleId="15">
    <w:name w:val="正文文本 字符"/>
    <w:basedOn w:val="9"/>
    <w:link w:val="2"/>
    <w:uiPriority w:val="0"/>
    <w:rPr>
      <w:rFonts w:ascii="宋体" w:hAnsi="Times New Roman" w:eastAsia="宋体" w:cs="Times New Roman"/>
      <w:bCs/>
      <w:sz w:val="28"/>
      <w:szCs w:val="24"/>
    </w:rPr>
  </w:style>
  <w:style w:type="character" w:customStyle="1" w:styleId="16">
    <w:name w:val="批注框文本 字符"/>
    <w:basedOn w:val="9"/>
    <w:link w:val="4"/>
    <w:semiHidden/>
    <w:qFormat/>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2521FCE-1C17-44D6-B961-B1F1D58FC1BE}">
  <ds:schemaRefs/>
</ds:datastoreItem>
</file>

<file path=docProps/app.xml><?xml version="1.0" encoding="utf-8"?>
<Properties xmlns="http://schemas.openxmlformats.org/officeDocument/2006/extended-properties" xmlns:vt="http://schemas.openxmlformats.org/officeDocument/2006/docPropsVTypes">
  <Template>中山大学-智能红头</Template>
  <Company>SYSU</Company>
  <Pages>1</Pages>
  <Words>250</Words>
  <Characters>1430</Characters>
  <Lines>11</Lines>
  <Paragraphs>3</Paragraphs>
  <TotalTime>0</TotalTime>
  <ScaleCrop>false</ScaleCrop>
  <LinksUpToDate>false</LinksUpToDate>
  <CharactersWithSpaces>1677</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2020-01-22T02:14:00Z</dcterms:created>
  <dc:creator>Administrator</dc:creator>
  <cp:lastModifiedBy>芷莹</cp:lastModifiedBy>
  <cp:lastPrinted>2016-11-03T09:16:00Z</cp:lastPrinted>
  <dcterms:modified xsi:type="dcterms:W3CDTF">2020-01-23T01:46:27Z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