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883433">
      <w:pPr>
        <w:adjustRightInd w:val="0"/>
        <w:snapToGrid w:val="0"/>
        <w:spacing w:line="560" w:lineRule="exact"/>
        <w:rPr>
          <w:rFonts w:eastAsia="黑体"/>
        </w:rPr>
      </w:pPr>
      <w:r>
        <w:rPr>
          <w:rFonts w:eastAsia="黑体"/>
        </w:rPr>
        <mc:AlternateContent>
          <mc:Choice Requires="wps">
            <w:drawing>
              <wp:anchor distT="0" distB="0" distL="114300" distR="114300" simplePos="0" relativeHeight="251659264" behindDoc="0" locked="0" layoutInCell="1" allowOverlap="1">
                <wp:simplePos x="0" y="0"/>
                <wp:positionH relativeFrom="page">
                  <wp:posOffset>720090</wp:posOffset>
                </wp:positionH>
                <wp:positionV relativeFrom="page">
                  <wp:posOffset>9973310</wp:posOffset>
                </wp:positionV>
                <wp:extent cx="6120130" cy="0"/>
                <wp:effectExtent l="0" t="19050" r="14605" b="38100"/>
                <wp:wrapNone/>
                <wp:docPr id="3" name="直接连接符 3"/>
                <wp:cNvGraphicFramePr/>
                <a:graphic xmlns:a="http://schemas.openxmlformats.org/drawingml/2006/main">
                  <a:graphicData uri="http://schemas.microsoft.com/office/word/2010/wordprocessingShape">
                    <wps:wsp>
                      <wps:cNvCnPr/>
                      <wps:spPr>
                        <a:xfrm>
                          <a:off x="0" y="0"/>
                          <a:ext cx="6120000" cy="0"/>
                        </a:xfrm>
                        <a:prstGeom prst="line">
                          <a:avLst/>
                        </a:prstGeom>
                        <a:ln w="63500" cmpd="thinThick">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56.7pt;margin-top:785.3pt;height:0pt;width:481.9pt;mso-position-horizontal-relative:page;mso-position-vertical-relative:page;z-index:251659264;mso-width-relative:page;mso-height-relative:page;" filled="f" stroked="t" coordsize="21600,21600" o:gfxdata="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Nw+2HXAAAADgEAAA8AAAAA&#10;AAAAAQAgAAAAIgAAAGRycy9kb3ducmV2LnhtbFBLAQIUABQAAAAIAIdO4kBDXtZj3AEAAKEDAAAO&#10;AAAAAAAAAAEAIAAAACYBAABkcnMvZTJvRG9jLnhtbFBLBQYAAAAABgAGAFkBAAB0BQAAAAA=&#10;">
                <v:fill on="f" focussize="0,0"/>
                <v:stroke weight="5pt" color="#FF0000 [3204]" linestyle="thinThick" joinstyle="round"/>
                <v:imagedata o:title=""/>
                <o:lock v:ext="edit" aspectratio="f"/>
              </v:line>
            </w:pict>
          </mc:Fallback>
        </mc:AlternateContent>
      </w:r>
    </w:p>
    <w:p w14:paraId="33C1A604">
      <w:pPr>
        <w:adjustRightInd w:val="0"/>
        <w:snapToGrid w:val="0"/>
        <w:spacing w:line="560" w:lineRule="exact"/>
        <w:jc w:val="center"/>
        <w:rPr>
          <w:rFonts w:eastAsia="方正小标宋简体"/>
          <w:sz w:val="44"/>
        </w:rPr>
      </w:pPr>
      <w:r>
        <w:rPr>
          <w:rFonts w:hint="eastAsia" w:eastAsia="方正小标宋简体"/>
          <w:sz w:val="44"/>
          <w:lang w:val="en-US" w:eastAsia="zh-CN"/>
        </w:rPr>
        <w:t>转发</w:t>
      </w:r>
      <w:r>
        <w:rPr>
          <w:rFonts w:eastAsia="方正小标宋简体"/>
          <w:sz w:val="44"/>
        </w:rPr>
        <w:t>人力资源管理处关于开展2</w:t>
      </w:r>
      <w:r>
        <w:rPr>
          <w:rFonts w:hint="eastAsia" w:eastAsia="方正小标宋简体"/>
          <w:sz w:val="44"/>
        </w:rPr>
        <w:t>02</w:t>
      </w:r>
      <w:r>
        <w:rPr>
          <w:rFonts w:eastAsia="方正小标宋简体"/>
          <w:sz w:val="44"/>
        </w:rPr>
        <w:t>5年</w:t>
      </w:r>
      <w:r>
        <w:rPr>
          <w:rFonts w:hint="eastAsia" w:eastAsia="方正小标宋简体"/>
          <w:sz w:val="44"/>
        </w:rPr>
        <w:t>度</w:t>
      </w:r>
    </w:p>
    <w:p w14:paraId="6F48F49A">
      <w:pPr>
        <w:adjustRightInd w:val="0"/>
        <w:snapToGrid w:val="0"/>
        <w:spacing w:line="560" w:lineRule="exact"/>
        <w:jc w:val="center"/>
        <w:rPr>
          <w:rFonts w:eastAsia="方正小标宋简体"/>
          <w:sz w:val="44"/>
        </w:rPr>
      </w:pPr>
      <w:r>
        <w:rPr>
          <w:rFonts w:eastAsia="方正小标宋简体"/>
          <w:sz w:val="44"/>
        </w:rPr>
        <w:t>香江学者计划</w:t>
      </w:r>
      <w:r>
        <w:rPr>
          <w:rFonts w:hint="eastAsia" w:eastAsia="方正小标宋简体"/>
          <w:sz w:val="44"/>
        </w:rPr>
        <w:t>、香江学者计划（湾区项目）</w:t>
      </w:r>
    </w:p>
    <w:p w14:paraId="7EEB0B23">
      <w:pPr>
        <w:adjustRightInd w:val="0"/>
        <w:snapToGrid w:val="0"/>
        <w:spacing w:line="560" w:lineRule="exact"/>
        <w:jc w:val="center"/>
      </w:pPr>
      <w:r>
        <w:rPr>
          <w:rFonts w:eastAsia="方正小标宋简体"/>
          <w:sz w:val="44"/>
        </w:rPr>
        <w:t>申报工作的通知</w:t>
      </w:r>
    </w:p>
    <w:p w14:paraId="25256C35">
      <w:pPr>
        <w:adjustRightInd w:val="0"/>
        <w:snapToGrid w:val="0"/>
        <w:spacing w:line="560" w:lineRule="exact"/>
      </w:pPr>
    </w:p>
    <w:p w14:paraId="7428D635">
      <w:pPr>
        <w:adjustRightInd w:val="0"/>
        <w:snapToGrid w:val="0"/>
        <w:spacing w:line="560" w:lineRule="exact"/>
      </w:pPr>
      <w:r>
        <w:t>各</w:t>
      </w:r>
      <w:r>
        <w:rPr>
          <w:rFonts w:hint="eastAsia"/>
          <w:lang w:val="en-US" w:eastAsia="zh-CN"/>
        </w:rPr>
        <w:t>位老师</w:t>
      </w:r>
      <w:r>
        <w:t>：</w:t>
      </w:r>
    </w:p>
    <w:p w14:paraId="40B89595">
      <w:pPr>
        <w:adjustRightInd w:val="0"/>
        <w:snapToGrid w:val="0"/>
        <w:spacing w:line="560" w:lineRule="exact"/>
        <w:ind w:firstLine="624" w:firstLineChars="200"/>
        <w:rPr>
          <w:color w:val="FF0000"/>
        </w:rPr>
      </w:pPr>
      <w:r>
        <w:rPr>
          <w:rFonts w:hint="eastAsia"/>
        </w:rPr>
        <w:t>为加快培养高层次创新型青年人才，加强博士后国（境）外学术交流与合作，</w:t>
      </w:r>
      <w:r>
        <w:t>全国博士后管委会办公室</w:t>
      </w:r>
      <w:r>
        <w:rPr>
          <w:rFonts w:hint="eastAsia"/>
        </w:rPr>
        <w:t>、中国博士后科学基金会2</w:t>
      </w:r>
      <w:r>
        <w:t>025</w:t>
      </w:r>
      <w:r>
        <w:rPr>
          <w:rFonts w:hint="eastAsia"/>
        </w:rPr>
        <w:t>年将继续开展香江学者计划。同时，为支持粤港澳大湾区高水平人才高地建设，2</w:t>
      </w:r>
      <w:r>
        <w:t>025</w:t>
      </w:r>
      <w:r>
        <w:rPr>
          <w:rFonts w:hint="eastAsia"/>
        </w:rPr>
        <w:t>年将首次开展香江学者计划（湾区项目）。</w:t>
      </w:r>
      <w:r>
        <w:t>根据</w:t>
      </w:r>
      <w:r>
        <w:rPr>
          <w:rFonts w:hint="eastAsia"/>
        </w:rPr>
        <w:t>《</w:t>
      </w:r>
      <w:r>
        <w:t>全国博士后管委会办公室</w:t>
      </w:r>
      <w:r>
        <w:rPr>
          <w:rFonts w:hint="eastAsia"/>
        </w:rPr>
        <w:t>关于开展2025年博士后国（境）外交流项目申报工作的通知</w:t>
      </w:r>
      <w:r>
        <w:t>》（博管办〔2025〕74号）要求，现就</w:t>
      </w:r>
      <w:r>
        <w:rPr>
          <w:rFonts w:hint="eastAsia"/>
        </w:rPr>
        <w:t>香江学者计划、香江学者计划（湾区项目）</w:t>
      </w:r>
      <w:r>
        <w:t>有关工作通知如下：</w:t>
      </w:r>
    </w:p>
    <w:p w14:paraId="07F77FC2">
      <w:pPr>
        <w:adjustRightInd w:val="0"/>
        <w:snapToGrid w:val="0"/>
        <w:spacing w:line="560" w:lineRule="exact"/>
        <w:ind w:firstLine="624" w:firstLineChars="200"/>
        <w:rPr>
          <w:rFonts w:ascii="黑体" w:hAnsi="黑体" w:eastAsia="黑体"/>
        </w:rPr>
      </w:pPr>
      <w:r>
        <w:rPr>
          <w:rFonts w:ascii="黑体" w:hAnsi="黑体" w:eastAsia="黑体"/>
        </w:rPr>
        <w:t>一、项目内容</w:t>
      </w:r>
    </w:p>
    <w:p w14:paraId="3630D7A6">
      <w:pPr>
        <w:adjustRightInd w:val="0"/>
        <w:snapToGrid w:val="0"/>
        <w:spacing w:line="560" w:lineRule="exact"/>
        <w:ind w:firstLine="624" w:firstLineChars="200"/>
      </w:pPr>
      <w:r>
        <w:t>香江学者计划由全国博士后管委会办公室和香港学者协会联合实施</w:t>
      </w:r>
      <w:r>
        <w:rPr>
          <w:rFonts w:hint="eastAsia"/>
        </w:rPr>
        <w:t>；香江学者计划（湾区项目）由全国博士后管委会办公室、广东省人力资源和社会保障厅，以及香港学者协会联合实施。</w:t>
      </w:r>
    </w:p>
    <w:p w14:paraId="76F02654">
      <w:pPr>
        <w:adjustRightInd w:val="0"/>
        <w:snapToGrid w:val="0"/>
        <w:spacing w:line="560" w:lineRule="exact"/>
        <w:ind w:firstLine="624" w:firstLineChars="200"/>
        <w:rPr>
          <w:color w:val="FF0000"/>
        </w:rPr>
      </w:pPr>
      <w:r>
        <w:rPr>
          <w:rFonts w:hint="eastAsia"/>
        </w:rPr>
        <w:t>香江学者计划、香江学者计划（湾区项目）面向内地博士申请，其中香江学者计划（湾区项目）须依托广东省博士后科研流动站和工作站申报。获选人员将进入</w:t>
      </w:r>
      <w:r>
        <w:t>香港指定的大学，在港方合作导师的指导下，以港方大学合约研究人员的身份开展博士后研究，为期2年。</w:t>
      </w:r>
      <w:r>
        <w:rPr>
          <w:rFonts w:hint="eastAsia"/>
        </w:rPr>
        <w:t>每个项目的</w:t>
      </w:r>
      <w:r>
        <w:t>资助经费</w:t>
      </w:r>
      <w:r>
        <w:rPr>
          <w:rFonts w:hint="eastAsia"/>
        </w:rPr>
        <w:t>总金额均为</w:t>
      </w:r>
      <w:r>
        <w:t>每人36万元人民币和43.92万元港币（约合36万元人民币），主要用于支付获选人员在港期间的生活开支、住房补贴、</w:t>
      </w:r>
      <w:r>
        <w:rPr>
          <w:rFonts w:hint="eastAsia"/>
        </w:rPr>
        <w:t>医疗</w:t>
      </w:r>
      <w:r>
        <w:t>保险</w:t>
      </w:r>
      <w:r>
        <w:rPr>
          <w:rFonts w:hint="eastAsia"/>
        </w:rPr>
        <w:t>、科研补助</w:t>
      </w:r>
      <w:r>
        <w:t>及往返旅费等。</w:t>
      </w:r>
      <w:r>
        <w:rPr>
          <w:b/>
          <w:bCs/>
          <w:color w:val="FF0000"/>
        </w:rPr>
        <w:t>获选人员</w:t>
      </w:r>
      <w:r>
        <w:rPr>
          <w:rFonts w:hint="eastAsia"/>
          <w:b/>
          <w:bCs/>
          <w:color w:val="FF0000"/>
          <w:lang w:bidi="ar"/>
        </w:rPr>
        <w:t>不再同时享受广东省博士后日常经费资助</w:t>
      </w:r>
      <w:r>
        <w:rPr>
          <w:rFonts w:hint="eastAsia"/>
          <w:b/>
          <w:bCs/>
          <w:color w:val="FF0000"/>
        </w:rPr>
        <w:t>，</w:t>
      </w:r>
      <w:r>
        <w:rPr>
          <w:b/>
          <w:bCs/>
          <w:color w:val="FF0000"/>
        </w:rPr>
        <w:t>派出后的薪酬待遇按照我校此项目相关规定执行。</w:t>
      </w:r>
    </w:p>
    <w:p w14:paraId="7786EE66">
      <w:pPr>
        <w:adjustRightInd w:val="0"/>
        <w:snapToGrid w:val="0"/>
        <w:spacing w:line="560" w:lineRule="exact"/>
        <w:ind w:firstLine="624" w:firstLineChars="200"/>
      </w:pPr>
      <w:r>
        <w:t>2025年香江学者计划全国资助</w:t>
      </w:r>
      <w:r>
        <w:rPr>
          <w:rFonts w:hint="eastAsia"/>
        </w:rPr>
        <w:t>不超过</w:t>
      </w:r>
      <w:r>
        <w:t>60人</w:t>
      </w:r>
      <w:r>
        <w:rPr>
          <w:rFonts w:hint="eastAsia"/>
        </w:rPr>
        <w:t>；香江学者计划（湾区项目）资助总名额不超过2</w:t>
      </w:r>
      <w:r>
        <w:t>0</w:t>
      </w:r>
      <w:r>
        <w:rPr>
          <w:rFonts w:hint="eastAsia"/>
        </w:rPr>
        <w:t>人</w:t>
      </w:r>
      <w:r>
        <w:t>。</w:t>
      </w:r>
    </w:p>
    <w:p w14:paraId="46BBE2D5">
      <w:pPr>
        <w:adjustRightInd w:val="0"/>
        <w:snapToGrid w:val="0"/>
        <w:spacing w:line="560" w:lineRule="exact"/>
        <w:ind w:firstLine="624" w:firstLineChars="200"/>
        <w:rPr>
          <w:rFonts w:ascii="黑体" w:hAnsi="黑体" w:eastAsia="黑体"/>
        </w:rPr>
      </w:pPr>
      <w:r>
        <w:rPr>
          <w:rFonts w:ascii="黑体" w:hAnsi="黑体" w:eastAsia="黑体"/>
        </w:rPr>
        <w:t>二、申请条件</w:t>
      </w:r>
    </w:p>
    <w:p w14:paraId="232CAB0E">
      <w:pPr>
        <w:adjustRightInd w:val="0"/>
        <w:snapToGrid w:val="0"/>
        <w:spacing w:line="560" w:lineRule="exact"/>
        <w:ind w:firstLine="624" w:firstLineChars="200"/>
      </w:pPr>
      <w:r>
        <w:rPr>
          <w:rFonts w:hint="eastAsia"/>
        </w:rPr>
        <w:t>1</w:t>
      </w:r>
      <w:r>
        <w:t>.年龄不超过35周岁</w:t>
      </w:r>
      <w:r>
        <w:rPr>
          <w:rFonts w:hint="eastAsia"/>
        </w:rPr>
        <w:t>，</w:t>
      </w:r>
      <w:r>
        <w:t>政治素养良好，思想品德端正，身体健康。</w:t>
      </w:r>
    </w:p>
    <w:p w14:paraId="085E5DA9">
      <w:pPr>
        <w:adjustRightInd w:val="0"/>
        <w:snapToGrid w:val="0"/>
        <w:spacing w:line="560" w:lineRule="exact"/>
        <w:ind w:firstLine="624" w:firstLineChars="200"/>
      </w:pPr>
      <w:r>
        <w:t>2.</w:t>
      </w:r>
      <w:r>
        <w:rPr>
          <w:rFonts w:hint="eastAsia"/>
        </w:rPr>
        <w:t>香江学者计划</w:t>
      </w:r>
      <w:r>
        <w:t>申请人应为未进站的应届博士毕业生等拟进站人员、新近进站的博士后研究人员。</w:t>
      </w:r>
      <w:r>
        <w:rPr>
          <w:rFonts w:hint="eastAsia"/>
        </w:rPr>
        <w:t>香江学者计划（湾区项目）申请人应为广东省博士后科研流动站的在站博士后研究人员、拟进入广东省博士后科研流动站的博士毕业生。以上申请人博士毕业一般应为三年以内。</w:t>
      </w:r>
    </w:p>
    <w:p w14:paraId="43C9E345">
      <w:pPr>
        <w:adjustRightInd w:val="0"/>
        <w:snapToGrid w:val="0"/>
        <w:spacing w:line="560" w:lineRule="exact"/>
        <w:ind w:firstLine="624" w:firstLineChars="200"/>
      </w:pPr>
      <w:r>
        <w:t>其中，未进站的应届博士毕业生等拟进站人员可先行申报，获选后再办理博士后进站手续；新近进站的博士后人员须经合作导师和所在单位同意</w:t>
      </w:r>
      <w:r>
        <w:rPr>
          <w:rFonts w:hint="eastAsia"/>
        </w:rPr>
        <w:t>。</w:t>
      </w:r>
    </w:p>
    <w:p w14:paraId="6184509C">
      <w:pPr>
        <w:adjustRightInd w:val="0"/>
        <w:snapToGrid w:val="0"/>
        <w:spacing w:line="560" w:lineRule="exact"/>
        <w:ind w:firstLine="624" w:firstLineChars="200"/>
      </w:pPr>
      <w:r>
        <w:t>3.具备较高的学术水平和较强的科研能力、创新能力。</w:t>
      </w:r>
    </w:p>
    <w:p w14:paraId="16FED879">
      <w:pPr>
        <w:adjustRightInd w:val="0"/>
        <w:snapToGrid w:val="0"/>
        <w:spacing w:line="560" w:lineRule="exact"/>
        <w:ind w:firstLine="624" w:firstLineChars="200"/>
      </w:pPr>
      <w:r>
        <w:t>4.具有良好的英语水平。</w:t>
      </w:r>
    </w:p>
    <w:p w14:paraId="535BFD94">
      <w:pPr>
        <w:adjustRightInd w:val="0"/>
        <w:snapToGrid w:val="0"/>
        <w:spacing w:line="560" w:lineRule="exact"/>
        <w:ind w:firstLine="624" w:firstLineChars="200"/>
      </w:pPr>
      <w:r>
        <w:t>5.能全职在港工作2年。</w:t>
      </w:r>
    </w:p>
    <w:p w14:paraId="4556AE5C">
      <w:pPr>
        <w:adjustRightInd w:val="0"/>
        <w:snapToGrid w:val="0"/>
        <w:spacing w:line="560" w:lineRule="exact"/>
        <w:ind w:firstLine="624" w:firstLineChars="200"/>
      </w:pPr>
      <w:r>
        <w:t>6.专业领域：基础研究、生物医学、信息技术、农业、新能源、新材料、先进制造、经济学、法学、管理学等。</w:t>
      </w:r>
    </w:p>
    <w:p w14:paraId="50D47168">
      <w:pPr>
        <w:adjustRightInd w:val="0"/>
        <w:snapToGrid w:val="0"/>
        <w:spacing w:line="560" w:lineRule="exact"/>
        <w:ind w:firstLine="624" w:firstLineChars="200"/>
      </w:pPr>
      <w:r>
        <w:t>7.</w:t>
      </w:r>
      <w:r>
        <w:rPr>
          <w:rFonts w:hint="eastAsia"/>
        </w:rPr>
        <w:t>已入选国家资助博士后研究人员计划（A档博新计划、BC档）、香江学者计划、澳门青年学者计划、中德博士后交流项目及其他各类国家和广东省的引进与派出类项目（博士后国（境）外学术交流项目除外）的人员不得申报。</w:t>
      </w:r>
    </w:p>
    <w:p w14:paraId="6D942DB8">
      <w:pPr>
        <w:adjustRightInd w:val="0"/>
        <w:snapToGrid w:val="0"/>
        <w:spacing w:line="560" w:lineRule="exact"/>
        <w:ind w:firstLine="624" w:firstLineChars="200"/>
      </w:pPr>
      <w:r>
        <w:rPr>
          <w:rFonts w:hint="eastAsia"/>
        </w:rPr>
        <w:t>8</w:t>
      </w:r>
      <w:r>
        <w:t>.</w:t>
      </w:r>
      <w:r>
        <w:rPr>
          <w:rFonts w:hint="eastAsia"/>
        </w:rPr>
        <w:t>同时满足香江学者计划、香江学者计划（湾区项目）申报条件的申请人，须择一申报。</w:t>
      </w:r>
    </w:p>
    <w:p w14:paraId="7010E36A">
      <w:pPr>
        <w:adjustRightInd w:val="0"/>
        <w:snapToGrid w:val="0"/>
        <w:spacing w:line="560" w:lineRule="exact"/>
        <w:ind w:firstLine="624" w:firstLineChars="200"/>
        <w:rPr>
          <w:rFonts w:ascii="黑体" w:hAnsi="黑体" w:eastAsia="黑体"/>
        </w:rPr>
      </w:pPr>
      <w:r>
        <w:rPr>
          <w:rFonts w:ascii="黑体" w:hAnsi="黑体" w:eastAsia="黑体"/>
        </w:rPr>
        <w:t>三、申请程序</w:t>
      </w:r>
    </w:p>
    <w:p w14:paraId="585451AF">
      <w:pPr>
        <w:adjustRightInd w:val="0"/>
        <w:snapToGrid w:val="0"/>
        <w:spacing w:line="560" w:lineRule="exact"/>
        <w:ind w:firstLine="624" w:firstLineChars="200"/>
        <w:rPr>
          <w:rFonts w:ascii="楷体" w:hAnsi="楷体" w:eastAsia="楷体"/>
        </w:rPr>
      </w:pPr>
      <w:r>
        <w:rPr>
          <w:rFonts w:ascii="楷体" w:hAnsi="楷体" w:eastAsia="楷体"/>
        </w:rPr>
        <w:t>（一）公布岗位</w:t>
      </w:r>
    </w:p>
    <w:p w14:paraId="4467DF2E">
      <w:pPr>
        <w:adjustRightInd w:val="0"/>
        <w:snapToGrid w:val="0"/>
        <w:spacing w:line="560" w:lineRule="exact"/>
        <w:ind w:firstLine="624" w:firstLineChars="200"/>
      </w:pPr>
      <w:r>
        <w:rPr>
          <w:rFonts w:hint="eastAsia"/>
        </w:rPr>
        <w:t>全国博士后管委会办公室、中国博士后科学基金会公布本年度在港博士后研究岗位（香江学者计划与香江学者计划（湾区项目）岗位相同），岗位信息随申报指南发布（见附件3）。</w:t>
      </w:r>
    </w:p>
    <w:p w14:paraId="07C56243">
      <w:pPr>
        <w:adjustRightInd w:val="0"/>
        <w:snapToGrid w:val="0"/>
        <w:spacing w:line="560" w:lineRule="exact"/>
        <w:ind w:firstLine="624" w:firstLineChars="200"/>
        <w:rPr>
          <w:rFonts w:ascii="楷体" w:hAnsi="楷体" w:eastAsia="楷体"/>
        </w:rPr>
      </w:pPr>
      <w:r>
        <w:rPr>
          <w:rFonts w:ascii="楷体" w:hAnsi="楷体" w:eastAsia="楷体"/>
        </w:rPr>
        <w:t>（二）个人申请</w:t>
      </w:r>
    </w:p>
    <w:p w14:paraId="68E3967C">
      <w:pPr>
        <w:widowControl/>
        <w:spacing w:line="560" w:lineRule="exact"/>
        <w:ind w:firstLine="624" w:firstLineChars="200"/>
        <w:jc w:val="left"/>
      </w:pPr>
      <w:r>
        <w:rPr>
          <w:rFonts w:hint="eastAsia"/>
          <w:b/>
          <w:bCs/>
          <w:color w:val="FF0000"/>
          <w:lang w:val="en-US" w:eastAsia="zh-CN"/>
        </w:rPr>
        <w:t>即日</w:t>
      </w:r>
      <w:r>
        <w:rPr>
          <w:rFonts w:hint="eastAsia"/>
          <w:b/>
          <w:bCs/>
          <w:color w:val="FF0000"/>
        </w:rPr>
        <w:t>起</w:t>
      </w:r>
      <w:r>
        <w:rPr>
          <w:rFonts w:hint="eastAsia"/>
        </w:rPr>
        <w:t>，</w:t>
      </w:r>
      <w:r>
        <w:t>申请人</w:t>
      </w:r>
      <w:r>
        <w:rPr>
          <w:rFonts w:hint="eastAsia"/>
        </w:rPr>
        <w:t>可</w:t>
      </w:r>
      <w:r>
        <w:t>登人力资源社会保障部留学人员</w:t>
      </w:r>
      <w:r>
        <w:rPr>
          <w:rFonts w:hint="eastAsia"/>
        </w:rPr>
        <w:t>和专家服务中心（中国博士后科学基金会）官网，在“国（境）外交流项目”系统</w:t>
      </w:r>
      <w:r>
        <w:t>进行申报。申报时须查看申报岗位详情，并按提示要求填写相关申报信息、上传相关证明材料。</w:t>
      </w:r>
    </w:p>
    <w:p w14:paraId="67D488E9">
      <w:pPr>
        <w:adjustRightInd w:val="0"/>
        <w:snapToGrid w:val="0"/>
        <w:spacing w:line="560" w:lineRule="exact"/>
        <w:ind w:firstLine="624" w:firstLineChars="200"/>
      </w:pPr>
      <w:r>
        <w:t>申请人将电子版申请材料提交至所在单位（各相关院系、附属医院、科研机构）的人事秘书。</w:t>
      </w:r>
    </w:p>
    <w:p w14:paraId="4E715771">
      <w:pPr>
        <w:adjustRightInd w:val="0"/>
        <w:snapToGrid w:val="0"/>
        <w:spacing w:line="560" w:lineRule="exact"/>
        <w:ind w:firstLine="624" w:firstLineChars="200"/>
        <w:rPr>
          <w:rFonts w:ascii="楷体" w:hAnsi="楷体" w:eastAsia="楷体"/>
        </w:rPr>
      </w:pPr>
      <w:r>
        <w:rPr>
          <w:rFonts w:ascii="楷体" w:hAnsi="楷体" w:eastAsia="楷体"/>
        </w:rPr>
        <w:t>（三）单位审核</w:t>
      </w:r>
    </w:p>
    <w:p w14:paraId="502297F8">
      <w:pPr>
        <w:adjustRightInd w:val="0"/>
        <w:snapToGrid w:val="0"/>
        <w:spacing w:line="560" w:lineRule="exact"/>
        <w:ind w:firstLine="624" w:firstLineChars="200"/>
        <w:rPr>
          <w:rFonts w:hint="default" w:eastAsia="仿宋_GB2312"/>
          <w:lang w:val="en-US" w:eastAsia="zh-CN"/>
        </w:rPr>
      </w:pPr>
      <w:r>
        <w:rPr>
          <w:rFonts w:hint="eastAsia"/>
          <w:lang w:val="en-US" w:eastAsia="zh-CN"/>
        </w:rPr>
        <w:t>申请人</w:t>
      </w:r>
      <w:r>
        <w:t>于</w:t>
      </w:r>
      <w:r>
        <w:rPr>
          <w:b/>
          <w:bCs/>
          <w:color w:val="FF0000"/>
        </w:rPr>
        <w:t>2025年4月</w:t>
      </w:r>
      <w:r>
        <w:rPr>
          <w:rFonts w:hint="eastAsia"/>
          <w:b/>
          <w:bCs/>
          <w:color w:val="FF0000"/>
          <w:lang w:val="en-US" w:eastAsia="zh-CN"/>
        </w:rPr>
        <w:t>18</w:t>
      </w:r>
      <w:r>
        <w:rPr>
          <w:b/>
          <w:bCs/>
          <w:color w:val="FF0000"/>
        </w:rPr>
        <w:t>日</w:t>
      </w:r>
      <w:r>
        <w:t>前按照下表要求提交材料</w:t>
      </w:r>
      <w:r>
        <w:rPr>
          <w:rFonts w:hint="eastAsia"/>
          <w:lang w:val="en-US" w:eastAsia="zh-CN"/>
        </w:rPr>
        <w:t>至电子邮箱</w:t>
      </w:r>
      <w:r>
        <w:rPr>
          <w:rFonts w:hint="eastAsia"/>
          <w:lang w:eastAsia="zh-CN"/>
        </w:rPr>
        <w:t>：</w:t>
      </w:r>
      <w:r>
        <w:rPr>
          <w:rFonts w:hint="eastAsia"/>
          <w:lang w:val="en-US" w:eastAsia="zh-CN"/>
        </w:rPr>
        <w:t>pengbr3@mail2.sysu.edu.cn。</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7342"/>
      </w:tblGrid>
      <w:tr w14:paraId="4019C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1271" w:type="dxa"/>
            <w:vAlign w:val="center"/>
          </w:tcPr>
          <w:p w14:paraId="4A80EF52">
            <w:pPr>
              <w:snapToGrid w:val="0"/>
              <w:spacing w:line="560" w:lineRule="exact"/>
              <w:jc w:val="center"/>
              <w:rPr>
                <w:b/>
                <w:kern w:val="0"/>
                <w:sz w:val="28"/>
                <w:szCs w:val="28"/>
              </w:rPr>
            </w:pPr>
            <w:r>
              <w:rPr>
                <w:b/>
                <w:kern w:val="0"/>
                <w:sz w:val="28"/>
                <w:szCs w:val="28"/>
              </w:rPr>
              <w:t>类型</w:t>
            </w:r>
          </w:p>
        </w:tc>
        <w:tc>
          <w:tcPr>
            <w:tcW w:w="7342" w:type="dxa"/>
            <w:vAlign w:val="center"/>
          </w:tcPr>
          <w:p w14:paraId="35C99A74">
            <w:pPr>
              <w:snapToGrid w:val="0"/>
              <w:spacing w:line="560" w:lineRule="exact"/>
              <w:jc w:val="center"/>
              <w:rPr>
                <w:b/>
                <w:kern w:val="0"/>
                <w:sz w:val="28"/>
                <w:szCs w:val="28"/>
              </w:rPr>
            </w:pPr>
            <w:r>
              <w:rPr>
                <w:b/>
                <w:kern w:val="0"/>
                <w:sz w:val="28"/>
                <w:szCs w:val="28"/>
              </w:rPr>
              <w:t>材料</w:t>
            </w:r>
          </w:p>
        </w:tc>
      </w:tr>
      <w:tr w14:paraId="266BC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0" w:hRule="atLeast"/>
        </w:trPr>
        <w:tc>
          <w:tcPr>
            <w:tcW w:w="1271" w:type="dxa"/>
            <w:vAlign w:val="center"/>
          </w:tcPr>
          <w:p w14:paraId="043CB1B4">
            <w:pPr>
              <w:snapToGrid w:val="0"/>
              <w:spacing w:line="560" w:lineRule="exact"/>
              <w:jc w:val="center"/>
              <w:rPr>
                <w:kern w:val="0"/>
                <w:sz w:val="28"/>
                <w:szCs w:val="28"/>
              </w:rPr>
            </w:pPr>
            <w:r>
              <w:rPr>
                <w:kern w:val="0"/>
                <w:sz w:val="28"/>
                <w:szCs w:val="28"/>
              </w:rPr>
              <w:t>电子版材料</w:t>
            </w:r>
          </w:p>
        </w:tc>
        <w:tc>
          <w:tcPr>
            <w:tcW w:w="7342" w:type="dxa"/>
            <w:tcBorders/>
            <w:vAlign w:val="center"/>
          </w:tcPr>
          <w:p w14:paraId="4974BF95">
            <w:pPr>
              <w:snapToGrid w:val="0"/>
              <w:spacing w:line="560" w:lineRule="exact"/>
              <w:rPr>
                <w:kern w:val="0"/>
                <w:sz w:val="28"/>
                <w:szCs w:val="28"/>
              </w:rPr>
            </w:pPr>
            <w:r>
              <w:rPr>
                <w:rFonts w:hint="eastAsia"/>
                <w:kern w:val="0"/>
                <w:sz w:val="28"/>
                <w:szCs w:val="28"/>
              </w:rPr>
              <w:t>1.202</w:t>
            </w:r>
            <w:r>
              <w:rPr>
                <w:kern w:val="0"/>
                <w:sz w:val="28"/>
                <w:szCs w:val="28"/>
              </w:rPr>
              <w:t>5年度香江学者计划</w:t>
            </w:r>
            <w:r>
              <w:rPr>
                <w:rFonts w:hint="eastAsia"/>
                <w:kern w:val="0"/>
                <w:sz w:val="28"/>
                <w:szCs w:val="28"/>
              </w:rPr>
              <w:t>、香江学者计划（湾区项目）</w:t>
            </w:r>
            <w:r>
              <w:rPr>
                <w:kern w:val="0"/>
                <w:sz w:val="28"/>
                <w:szCs w:val="28"/>
              </w:rPr>
              <w:t>申报汇总表</w:t>
            </w:r>
            <w:r>
              <w:rPr>
                <w:kern w:val="0"/>
                <w:sz w:val="28"/>
              </w:rPr>
              <w:t>（Excel版本）</w:t>
            </w:r>
          </w:p>
          <w:p w14:paraId="0748C650">
            <w:pPr>
              <w:snapToGrid w:val="0"/>
              <w:spacing w:line="560" w:lineRule="exact"/>
              <w:rPr>
                <w:kern w:val="0"/>
                <w:sz w:val="28"/>
                <w:szCs w:val="28"/>
              </w:rPr>
            </w:pPr>
            <w:r>
              <w:rPr>
                <w:kern w:val="0"/>
                <w:sz w:val="28"/>
                <w:szCs w:val="28"/>
              </w:rPr>
              <w:t>2.承诺书</w:t>
            </w:r>
          </w:p>
          <w:p w14:paraId="7C573D4C">
            <w:pPr>
              <w:snapToGrid w:val="0"/>
              <w:spacing w:line="560" w:lineRule="exact"/>
              <w:rPr>
                <w:kern w:val="0"/>
                <w:sz w:val="28"/>
                <w:szCs w:val="28"/>
              </w:rPr>
            </w:pPr>
            <w:r>
              <w:rPr>
                <w:kern w:val="0"/>
                <w:sz w:val="28"/>
                <w:szCs w:val="28"/>
              </w:rPr>
              <w:t>（申请人</w:t>
            </w:r>
            <w:r>
              <w:rPr>
                <w:rFonts w:hint="eastAsia"/>
                <w:kern w:val="0"/>
                <w:sz w:val="28"/>
                <w:szCs w:val="28"/>
              </w:rPr>
              <w:t>、</w:t>
            </w:r>
            <w:r>
              <w:rPr>
                <w:kern w:val="0"/>
                <w:sz w:val="28"/>
                <w:szCs w:val="28"/>
              </w:rPr>
              <w:t>合作导师签字）</w:t>
            </w:r>
          </w:p>
          <w:p w14:paraId="3B4A17B6">
            <w:pPr>
              <w:snapToGrid w:val="0"/>
              <w:spacing w:line="560" w:lineRule="exact"/>
              <w:rPr>
                <w:kern w:val="0"/>
                <w:sz w:val="28"/>
                <w:szCs w:val="28"/>
              </w:rPr>
            </w:pPr>
            <w:r>
              <w:rPr>
                <w:kern w:val="0"/>
                <w:sz w:val="28"/>
                <w:szCs w:val="28"/>
              </w:rPr>
              <w:t>3.申请表</w:t>
            </w:r>
          </w:p>
          <w:p w14:paraId="6A2ACDC4">
            <w:pPr>
              <w:snapToGrid w:val="0"/>
              <w:spacing w:line="560" w:lineRule="exact"/>
              <w:rPr>
                <w:kern w:val="0"/>
                <w:sz w:val="28"/>
                <w:szCs w:val="28"/>
              </w:rPr>
            </w:pPr>
            <w:r>
              <w:rPr>
                <w:kern w:val="0"/>
                <w:sz w:val="28"/>
                <w:szCs w:val="28"/>
              </w:rPr>
              <w:t>（申请人在申报系统下载，Word版本）</w:t>
            </w:r>
          </w:p>
          <w:p w14:paraId="2523C4F0">
            <w:pPr>
              <w:snapToGrid w:val="0"/>
              <w:spacing w:line="560" w:lineRule="exact"/>
              <w:rPr>
                <w:kern w:val="0"/>
                <w:sz w:val="28"/>
                <w:szCs w:val="28"/>
              </w:rPr>
            </w:pPr>
            <w:r>
              <w:rPr>
                <w:kern w:val="0"/>
                <w:sz w:val="28"/>
                <w:szCs w:val="28"/>
              </w:rPr>
              <w:t>4.相关证明材料（身份证正反面、博士学位证书、科研成果证明材料）（PDF版本）</w:t>
            </w:r>
          </w:p>
          <w:p w14:paraId="7C17FF69">
            <w:pPr>
              <w:spacing w:line="560" w:lineRule="exact"/>
              <w:rPr>
                <w:b/>
                <w:kern w:val="0"/>
              </w:rPr>
            </w:pPr>
            <w:r>
              <w:rPr>
                <w:b/>
                <w:kern w:val="0"/>
                <w:sz w:val="28"/>
              </w:rPr>
              <w:t>（其中以上 2</w:t>
            </w:r>
            <w:r>
              <w:rPr>
                <w:rFonts w:hint="eastAsia"/>
                <w:b/>
                <w:kern w:val="0"/>
                <w:sz w:val="28"/>
              </w:rPr>
              <w:t>-</w:t>
            </w:r>
            <w:r>
              <w:rPr>
                <w:b/>
                <w:kern w:val="0"/>
                <w:sz w:val="28"/>
              </w:rPr>
              <w:t>4一起压缩后以“院系名称-申请人姓名”命名）</w:t>
            </w:r>
          </w:p>
        </w:tc>
      </w:tr>
    </w:tbl>
    <w:p w14:paraId="73BBC02B">
      <w:pPr>
        <w:adjustRightInd w:val="0"/>
        <w:snapToGrid w:val="0"/>
        <w:spacing w:line="560" w:lineRule="exact"/>
        <w:ind w:firstLine="624" w:firstLineChars="200"/>
        <w:rPr>
          <w:rFonts w:ascii="楷体" w:hAnsi="楷体" w:eastAsia="楷体"/>
        </w:rPr>
      </w:pPr>
      <w:r>
        <w:rPr>
          <w:rFonts w:ascii="楷体" w:hAnsi="楷体" w:eastAsia="楷体"/>
        </w:rPr>
        <w:t>（</w:t>
      </w:r>
      <w:r>
        <w:rPr>
          <w:rFonts w:hint="eastAsia" w:ascii="楷体" w:hAnsi="楷体" w:eastAsia="楷体"/>
        </w:rPr>
        <w:t>四</w:t>
      </w:r>
      <w:r>
        <w:rPr>
          <w:rFonts w:ascii="楷体" w:hAnsi="楷体" w:eastAsia="楷体"/>
        </w:rPr>
        <w:t>）遴选方式</w:t>
      </w:r>
    </w:p>
    <w:p w14:paraId="60FF4D19">
      <w:pPr>
        <w:adjustRightInd w:val="0"/>
        <w:snapToGrid w:val="0"/>
        <w:spacing w:line="560" w:lineRule="exact"/>
        <w:ind w:firstLine="624" w:firstLineChars="200"/>
      </w:pPr>
      <w:r>
        <w:rPr>
          <w:rFonts w:hint="eastAsia"/>
        </w:rPr>
        <w:t>香江学者计划、香江学者计划（湾区项目）由</w:t>
      </w:r>
      <w:r>
        <w:t>全国博士后管委会办公室、中国博士后科学基金会组织第一轮专家评审，</w:t>
      </w:r>
      <w:r>
        <w:rPr>
          <w:rFonts w:hint="eastAsia"/>
        </w:rPr>
        <w:t>按照计划资助人数的两倍评选出</w:t>
      </w:r>
      <w:r>
        <w:t>候选人；港方对候选人进行第二轮专家评审并确定拟获选人员。</w:t>
      </w:r>
    </w:p>
    <w:p w14:paraId="228E1446">
      <w:pPr>
        <w:adjustRightInd w:val="0"/>
        <w:snapToGrid w:val="0"/>
        <w:spacing w:line="560" w:lineRule="exact"/>
        <w:ind w:firstLine="624" w:firstLineChars="200"/>
      </w:pPr>
      <w:r>
        <w:t>申请人和</w:t>
      </w:r>
      <w:r>
        <w:rPr>
          <w:rFonts w:hint="eastAsia"/>
        </w:rPr>
        <w:t>设站</w:t>
      </w:r>
      <w:r>
        <w:t>单位可于</w:t>
      </w:r>
      <w:r>
        <w:rPr>
          <w:b/>
          <w:bCs/>
        </w:rPr>
        <w:t>2025年6月</w:t>
      </w:r>
      <w:r>
        <w:t>登录申报系统查询第一轮专家评审结果。</w:t>
      </w:r>
    </w:p>
    <w:p w14:paraId="676BA8E2">
      <w:pPr>
        <w:adjustRightInd w:val="0"/>
        <w:snapToGrid w:val="0"/>
        <w:spacing w:line="560" w:lineRule="exact"/>
        <w:ind w:firstLine="624" w:firstLineChars="200"/>
        <w:rPr>
          <w:rFonts w:ascii="黑体" w:hAnsi="黑体" w:eastAsia="黑体"/>
        </w:rPr>
      </w:pPr>
      <w:r>
        <w:rPr>
          <w:rFonts w:ascii="黑体" w:hAnsi="黑体" w:eastAsia="黑体"/>
        </w:rPr>
        <w:t>四、注意事项</w:t>
      </w:r>
    </w:p>
    <w:p w14:paraId="604236EB">
      <w:pPr>
        <w:adjustRightInd w:val="0"/>
        <w:snapToGrid w:val="0"/>
        <w:spacing w:line="560" w:lineRule="exact"/>
        <w:ind w:firstLine="612" w:firstLineChars="196"/>
      </w:pPr>
      <w:r>
        <w:t>1.注意时间节点，应在申报截止之日前</w:t>
      </w:r>
      <w:r>
        <w:rPr>
          <w:rFonts w:hint="eastAsia"/>
        </w:rPr>
        <w:t>提交</w:t>
      </w:r>
      <w:r>
        <w:t>申请材料，逾期不再受理。</w:t>
      </w:r>
    </w:p>
    <w:p w14:paraId="45786BB1">
      <w:pPr>
        <w:adjustRightInd w:val="0"/>
        <w:snapToGrid w:val="0"/>
        <w:spacing w:line="560" w:lineRule="exact"/>
        <w:ind w:firstLine="624" w:firstLineChars="200"/>
        <w:rPr>
          <w:rFonts w:hint="eastAsia"/>
          <w:szCs w:val="32"/>
        </w:rPr>
      </w:pPr>
      <w:r>
        <w:rPr>
          <w:rFonts w:hint="eastAsia"/>
        </w:rPr>
        <w:t>2</w:t>
      </w:r>
      <w:r>
        <w:t>.</w:t>
      </w:r>
      <w:r>
        <w:rPr>
          <w:rFonts w:hint="eastAsia"/>
        </w:rPr>
        <w:t>申请材料不得含有涉密内容，申请材料应确保真实、准确、完整以及和原件的一致性。</w:t>
      </w:r>
      <w:r>
        <w:rPr>
          <w:rFonts w:ascii="仿宋_GB2312"/>
        </w:rPr>
        <w:t>如发现虚报或伪造内容，一经查证，将取消申请人申报和获选资格。</w:t>
      </w:r>
    </w:p>
    <w:p w14:paraId="1CF3DBCC">
      <w:pPr>
        <w:adjustRightInd w:val="0"/>
        <w:snapToGrid w:val="0"/>
        <w:spacing w:line="560" w:lineRule="exact"/>
        <w:ind w:firstLine="612" w:firstLineChars="196"/>
      </w:pPr>
      <w:r>
        <w:rPr>
          <w:rFonts w:hint="eastAsia"/>
        </w:rPr>
        <w:t>3</w:t>
      </w:r>
      <w:r>
        <w:t>.如申请人同时申报香江学者计划</w:t>
      </w:r>
      <w:r>
        <w:rPr>
          <w:rFonts w:hint="eastAsia"/>
        </w:rPr>
        <w:t>（或其湾区项目）</w:t>
      </w:r>
      <w:r>
        <w:t>和澳门青年学者计划</w:t>
      </w:r>
      <w:r>
        <w:rPr>
          <w:rFonts w:hint="eastAsia"/>
        </w:rPr>
        <w:t>（或其湾区项目）</w:t>
      </w:r>
      <w:r>
        <w:t>，申报学科须</w:t>
      </w:r>
      <w:r>
        <w:rPr>
          <w:rFonts w:hint="eastAsia"/>
        </w:rPr>
        <w:t>一致。</w:t>
      </w:r>
      <w:r>
        <w:t>评审时</w:t>
      </w:r>
      <w:r>
        <w:rPr>
          <w:rFonts w:hint="eastAsia"/>
        </w:rPr>
        <w:t>，将</w:t>
      </w:r>
      <w:r>
        <w:t>按</w:t>
      </w:r>
      <w:r>
        <w:rPr>
          <w:rFonts w:hint="eastAsia"/>
        </w:rPr>
        <w:t>申请</w:t>
      </w:r>
      <w:r>
        <w:t>人意愿排序参评。</w:t>
      </w:r>
    </w:p>
    <w:p w14:paraId="4AC75159">
      <w:pPr>
        <w:adjustRightInd w:val="0"/>
        <w:snapToGrid w:val="0"/>
        <w:spacing w:line="560" w:lineRule="exact"/>
        <w:ind w:firstLine="612" w:firstLineChars="196"/>
      </w:pPr>
      <w:r>
        <w:rPr>
          <w:rFonts w:hint="eastAsia"/>
        </w:rPr>
        <w:t>4</w:t>
      </w:r>
      <w:r>
        <w:t>.获资助人员须在获选通知印发之日起6个月内赴国（境）外开始博士后研究工作，否则视为自动放弃。如因不可抗因素无法按期开展</w:t>
      </w:r>
      <w:r>
        <w:rPr>
          <w:rFonts w:hint="eastAsia"/>
        </w:rPr>
        <w:t>赴外</w:t>
      </w:r>
      <w:r>
        <w:t>，获选人员须及时向所在单位和学校说明情况，学校将结合申请人的整体情况及学校管理规定给予相应意见，并将意见提交至中国博士后科学基金会报备，否则视为自动放弃。</w:t>
      </w:r>
    </w:p>
    <w:p w14:paraId="3A5B60F5">
      <w:pPr>
        <w:adjustRightInd w:val="0"/>
        <w:snapToGrid w:val="0"/>
        <w:spacing w:line="560" w:lineRule="exact"/>
        <w:ind w:firstLine="612" w:firstLineChars="196"/>
      </w:pPr>
      <w:r>
        <w:rPr>
          <w:rFonts w:hint="eastAsia"/>
        </w:rPr>
        <w:t>5</w:t>
      </w:r>
      <w:r>
        <w:t>.</w:t>
      </w:r>
      <w:r>
        <w:rPr>
          <w:rFonts w:hint="eastAsia"/>
        </w:rPr>
        <w:t>香江学者计划</w:t>
      </w:r>
      <w:r>
        <w:t>获资助人员按照《全国博士后管委会办公室关于印发博士后国际交流计划实施细则的通知》（博管办〔2013〕77号）和《</w:t>
      </w:r>
      <w:r>
        <w:rPr>
          <w:rFonts w:hint="eastAsia"/>
        </w:rPr>
        <w:t>全国博士后管委会办公室</w:t>
      </w:r>
      <w:r>
        <w:t>关于印发</w:t>
      </w:r>
      <w:r>
        <w:rPr>
          <w:rFonts w:hint="eastAsia"/>
        </w:rPr>
        <w:t>“</w:t>
      </w:r>
      <w:r>
        <w:t>香江学者计划</w:t>
      </w:r>
      <w:r>
        <w:rPr>
          <w:rFonts w:hint="eastAsia"/>
        </w:rPr>
        <w:t>”</w:t>
      </w:r>
      <w:r>
        <w:t>实施细则的通知》（博管办〔2011〕92号）中的有关规定管理。</w:t>
      </w:r>
      <w:r>
        <w:rPr>
          <w:rFonts w:hint="eastAsia"/>
        </w:rPr>
        <w:t>香江学者计划（湾区项目）获选人员参照以上文件进行管理。获选人员在项目结束前均不得办理出站手续。</w:t>
      </w:r>
    </w:p>
    <w:p w14:paraId="2D540E47">
      <w:pPr>
        <w:adjustRightInd w:val="0"/>
        <w:snapToGrid w:val="0"/>
        <w:spacing w:line="560" w:lineRule="exact"/>
        <w:ind w:firstLine="624" w:firstLineChars="200"/>
      </w:pPr>
      <w:r>
        <w:rPr>
          <w:rFonts w:hint="eastAsia"/>
        </w:rPr>
        <w:t>6</w:t>
      </w:r>
      <w:r>
        <w:t>.申报时未提交博士学位证书的获资助人员，进站时设站单位应核实其</w:t>
      </w:r>
      <w:r>
        <w:rPr>
          <w:rFonts w:hint="eastAsia"/>
        </w:rPr>
        <w:t>博士</w:t>
      </w:r>
      <w:r>
        <w:t>学位证书。如无学位证书，应报全国博士后管委会办公室取消其获选资格，不得办理进站手续。</w:t>
      </w:r>
    </w:p>
    <w:p w14:paraId="378BA667">
      <w:pPr>
        <w:adjustRightInd w:val="0"/>
        <w:snapToGrid w:val="0"/>
        <w:spacing w:line="560" w:lineRule="exact"/>
        <w:ind w:firstLine="624" w:firstLineChars="200"/>
      </w:pPr>
      <w:r>
        <w:rPr>
          <w:rFonts w:hint="eastAsia"/>
        </w:rPr>
        <w:t>7</w:t>
      </w:r>
      <w:r>
        <w:t>.如获资助人员放弃资助或退站，须将剩余经费及时退回。</w:t>
      </w:r>
    </w:p>
    <w:p w14:paraId="20926CBD">
      <w:pPr>
        <w:adjustRightInd w:val="0"/>
        <w:snapToGrid w:val="0"/>
        <w:spacing w:line="560" w:lineRule="exact"/>
        <w:ind w:firstLine="624" w:firstLineChars="200"/>
      </w:pPr>
      <w:r>
        <w:rPr>
          <w:rFonts w:hint="eastAsia"/>
        </w:rPr>
        <w:t>8</w:t>
      </w:r>
      <w:r>
        <w:t>.获资助人员在国（境）外完成科研任务后，须在派出时间结束前按时返校，学校不受理派出时间的延长申请</w:t>
      </w:r>
      <w:r>
        <w:rPr>
          <w:rFonts w:hint="eastAsia"/>
        </w:rPr>
        <w:t>；获选人员完成项目并按期出站后，可在中国博士后办公系统中获得《资助证书》。</w:t>
      </w:r>
    </w:p>
    <w:p w14:paraId="36C7AFBA">
      <w:pPr>
        <w:adjustRightInd w:val="0"/>
        <w:snapToGrid w:val="0"/>
        <w:spacing w:line="560" w:lineRule="exact"/>
        <w:ind w:firstLine="624" w:firstLineChars="200"/>
        <w:rPr>
          <w:szCs w:val="32"/>
        </w:rPr>
      </w:pPr>
      <w:r>
        <w:rPr>
          <w:szCs w:val="32"/>
        </w:rPr>
        <w:t>特此通知。</w:t>
      </w:r>
    </w:p>
    <w:p w14:paraId="58120325">
      <w:pPr>
        <w:adjustRightInd w:val="0"/>
        <w:snapToGrid w:val="0"/>
        <w:spacing w:line="560" w:lineRule="exact"/>
        <w:ind w:firstLine="624" w:firstLineChars="200"/>
        <w:rPr>
          <w:szCs w:val="32"/>
        </w:rPr>
      </w:pPr>
    </w:p>
    <w:p w14:paraId="226170D2">
      <w:pPr>
        <w:adjustRightInd w:val="0"/>
        <w:snapToGrid w:val="0"/>
        <w:spacing w:line="560" w:lineRule="exact"/>
        <w:ind w:left="1881" w:leftChars="200" w:hanging="1257" w:hangingChars="403"/>
        <w:rPr>
          <w:szCs w:val="32"/>
        </w:rPr>
      </w:pPr>
      <w:r>
        <w:rPr>
          <w:rFonts w:hint="eastAsia" w:cs="仿宋_GB2312"/>
          <w:szCs w:val="32"/>
          <w:lang w:bidi="ar"/>
        </w:rPr>
        <w:t>附件：</w:t>
      </w:r>
      <w:r>
        <w:rPr>
          <w:szCs w:val="32"/>
          <w:lang w:bidi="ar"/>
        </w:rPr>
        <w:t>1.2025</w:t>
      </w:r>
      <w:r>
        <w:rPr>
          <w:rFonts w:hint="eastAsia" w:cs="仿宋_GB2312"/>
          <w:szCs w:val="32"/>
          <w:lang w:bidi="ar"/>
        </w:rPr>
        <w:t>年度</w:t>
      </w:r>
      <w:r>
        <w:rPr>
          <w:rFonts w:hint="eastAsia" w:cs="仿宋_GB2312"/>
          <w:color w:val="000000"/>
          <w:szCs w:val="32"/>
          <w:lang w:bidi="ar"/>
        </w:rPr>
        <w:t>香江学者计划、香江学者计划（湾区项目</w:t>
      </w:r>
      <w:r>
        <w:rPr>
          <w:rFonts w:hint="eastAsia" w:cs="仿宋_GB2312"/>
          <w:szCs w:val="32"/>
          <w:lang w:bidi="ar"/>
        </w:rPr>
        <w:t>申报汇总表</w:t>
      </w:r>
    </w:p>
    <w:p w14:paraId="55062519">
      <w:pPr>
        <w:adjustRightInd w:val="0"/>
        <w:snapToGrid w:val="0"/>
        <w:spacing w:line="560" w:lineRule="exact"/>
        <w:ind w:firstLine="624" w:firstLineChars="200"/>
        <w:rPr>
          <w:szCs w:val="32"/>
        </w:rPr>
      </w:pPr>
      <w:r>
        <w:rPr>
          <w:szCs w:val="32"/>
          <w:lang w:bidi="ar"/>
        </w:rPr>
        <w:t xml:space="preserve">      2.</w:t>
      </w:r>
      <w:r>
        <w:rPr>
          <w:rFonts w:hint="eastAsia" w:cs="仿宋_GB2312"/>
          <w:szCs w:val="32"/>
          <w:lang w:bidi="ar"/>
        </w:rPr>
        <w:t>承诺书</w:t>
      </w:r>
    </w:p>
    <w:p w14:paraId="27BADB81">
      <w:pPr>
        <w:adjustRightInd w:val="0"/>
        <w:snapToGrid w:val="0"/>
        <w:spacing w:line="560" w:lineRule="exact"/>
        <w:ind w:left="1872" w:leftChars="500" w:hanging="312" w:hangingChars="100"/>
        <w:rPr>
          <w:rFonts w:hint="eastAsia"/>
          <w:szCs w:val="32"/>
        </w:rPr>
      </w:pPr>
      <w:r>
        <w:rPr>
          <w:szCs w:val="32"/>
          <w:lang w:bidi="ar"/>
        </w:rPr>
        <w:t>3.</w:t>
      </w:r>
      <w:r>
        <w:rPr>
          <w:rFonts w:hint="eastAsia"/>
        </w:rPr>
        <w:t xml:space="preserve"> </w:t>
      </w:r>
      <w:r>
        <w:rPr>
          <w:rFonts w:hint="eastAsia" w:cs="仿宋_GB2312"/>
          <w:szCs w:val="32"/>
          <w:lang w:bidi="ar"/>
        </w:rPr>
        <w:t>2025年度香江学者计划、香江学者计划（湾区项目）项目岗位目录</w:t>
      </w:r>
    </w:p>
    <w:p w14:paraId="0A69637B">
      <w:pPr>
        <w:adjustRightInd w:val="0"/>
        <w:snapToGrid w:val="0"/>
        <w:spacing w:line="560" w:lineRule="exact"/>
        <w:jc w:val="right"/>
        <w:rPr>
          <w:szCs w:val="32"/>
          <w:highlight w:val="yellow"/>
        </w:rPr>
      </w:pPr>
    </w:p>
    <w:p w14:paraId="3A77AA25">
      <w:pPr>
        <w:adjustRightInd w:val="0"/>
        <w:snapToGrid w:val="0"/>
        <w:spacing w:line="560" w:lineRule="exact"/>
        <w:jc w:val="right"/>
        <w:rPr>
          <w:szCs w:val="32"/>
        </w:rPr>
      </w:pPr>
    </w:p>
    <w:p w14:paraId="420E50CD">
      <w:pPr>
        <w:adjustRightInd w:val="0"/>
        <w:snapToGrid w:val="0"/>
        <w:spacing w:line="560" w:lineRule="exact"/>
        <w:jc w:val="right"/>
        <w:rPr>
          <w:szCs w:val="32"/>
        </w:rPr>
      </w:pPr>
    </w:p>
    <w:p w14:paraId="34C2D2BD">
      <w:pPr>
        <w:adjustRightInd w:val="0"/>
        <w:snapToGrid w:val="0"/>
        <w:spacing w:line="560" w:lineRule="exact"/>
        <w:ind w:right="936"/>
        <w:jc w:val="right"/>
        <w:rPr>
          <w:rFonts w:hint="eastAsia" w:eastAsia="仿宋_GB2312"/>
          <w:szCs w:val="32"/>
          <w:lang w:val="en-US" w:eastAsia="zh-CN"/>
        </w:rPr>
      </w:pPr>
      <w:r>
        <w:rPr>
          <w:rFonts w:hint="eastAsia"/>
          <w:szCs w:val="32"/>
          <w:lang w:val="en-US" w:eastAsia="zh-CN"/>
        </w:rPr>
        <w:t>生命科学学院</w:t>
      </w:r>
    </w:p>
    <w:p w14:paraId="58798946">
      <w:pPr>
        <w:adjustRightInd w:val="0"/>
        <w:snapToGrid w:val="0"/>
        <w:spacing w:line="560" w:lineRule="exact"/>
        <w:ind w:right="789" w:rightChars="253"/>
        <w:jc w:val="right"/>
        <w:rPr>
          <w:szCs w:val="32"/>
        </w:rPr>
      </w:pPr>
      <w:r>
        <w:rPr>
          <w:szCs w:val="32"/>
        </w:rPr>
        <w:t xml:space="preserve"> 2025年3月</w:t>
      </w:r>
      <w:r>
        <w:rPr>
          <w:rFonts w:hint="eastAsia"/>
          <w:szCs w:val="32"/>
          <w:lang w:val="en-US" w:eastAsia="zh-CN"/>
        </w:rPr>
        <w:t>18</w:t>
      </w:r>
      <w:r>
        <w:rPr>
          <w:rFonts w:hint="eastAsia"/>
          <w:szCs w:val="32"/>
        </w:rPr>
        <w:t xml:space="preserve">日 </w:t>
      </w:r>
      <w:r>
        <w:rPr>
          <w:szCs w:val="32"/>
        </w:rPr>
        <w:t xml:space="preserve">   </w:t>
      </w:r>
    </w:p>
    <w:p w14:paraId="37275712">
      <w:pPr>
        <w:adjustRightInd w:val="0"/>
        <w:snapToGrid w:val="0"/>
        <w:spacing w:line="560" w:lineRule="exact"/>
        <w:ind w:firstLine="624" w:firstLineChars="200"/>
        <w:jc w:val="left"/>
        <w:rPr>
          <w:szCs w:val="32"/>
        </w:rPr>
      </w:pPr>
      <w:bookmarkStart w:id="0" w:name="_GoBack"/>
      <w:bookmarkEnd w:id="0"/>
    </w:p>
    <w:sectPr>
      <w:footerReference r:id="rId3" w:type="default"/>
      <w:footerReference r:id="rId4" w:type="even"/>
      <w:footnotePr>
        <w:numFmt w:val="decimalEnclosedCircleChinese"/>
        <w:numRestart w:val="eachPage"/>
      </w:footnotePr>
      <w:pgSz w:w="11906" w:h="16838"/>
      <w:pgMar w:top="2098" w:right="1588" w:bottom="2041" w:left="1588" w:header="851" w:footer="1644" w:gutter="0"/>
      <w:cols w:space="425" w:num="1" w:sep="1"/>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7CEC2146-12BD-4433-B598-987FA6B74EF8}"/>
  </w:font>
  <w:font w:name="Arial">
    <w:panose1 w:val="020B0604020202020204"/>
    <w:charset w:val="01"/>
    <w:family w:val="swiss"/>
    <w:pitch w:val="default"/>
    <w:sig w:usb0="E0002EFF" w:usb1="C000785B" w:usb2="00000009" w:usb3="00000000" w:csb0="400001FF" w:csb1="FFFF0000"/>
    <w:embedRegular r:id="rId2" w:fontKey="{86D925B1-CBC0-4D41-A4CF-EDC1C7565DA9}"/>
  </w:font>
  <w:font w:name="黑体">
    <w:panose1 w:val="02010609060101010101"/>
    <w:charset w:val="86"/>
    <w:family w:val="auto"/>
    <w:pitch w:val="default"/>
    <w:sig w:usb0="800002BF" w:usb1="38CF7CFA" w:usb2="00000016" w:usb3="00000000" w:csb0="00040001" w:csb1="00000000"/>
    <w:embedRegular r:id="rId3" w:fontKey="{37EE860B-55B3-4FCE-8324-11B79D380E23}"/>
  </w:font>
  <w:font w:name="Courier New">
    <w:panose1 w:val="02070309020205020404"/>
    <w:charset w:val="01"/>
    <w:family w:val="modern"/>
    <w:pitch w:val="default"/>
    <w:sig w:usb0="E0002EFF" w:usb1="C0007843" w:usb2="00000009" w:usb3="00000000" w:csb0="400001FF" w:csb1="FFFF0000"/>
    <w:embedRegular r:id="rId4" w:fontKey="{CF391E87-D71E-4455-AEA9-7CC81297F0D1}"/>
  </w:font>
  <w:font w:name="Symbol">
    <w:panose1 w:val="05050102010706020507"/>
    <w:charset w:val="02"/>
    <w:family w:val="roman"/>
    <w:pitch w:val="default"/>
    <w:sig w:usb0="00000000" w:usb1="00000000" w:usb2="00000000" w:usb3="00000000" w:csb0="80000000" w:csb1="00000000"/>
    <w:embedRegular r:id="rId5" w:fontKey="{B9B18C03-2F4F-4E66-AECA-2F4665F37936}"/>
  </w:font>
  <w:font w:name="Calibri">
    <w:panose1 w:val="020F0502020204030204"/>
    <w:charset w:val="00"/>
    <w:family w:val="swiss"/>
    <w:pitch w:val="default"/>
    <w:sig w:usb0="E4002EFF" w:usb1="C000247B" w:usb2="00000009" w:usb3="00000000" w:csb0="200001FF" w:csb1="00000000"/>
    <w:embedRegular r:id="rId6" w:fontKey="{836E9B5F-648E-41A4-B51B-293347F16DC0}"/>
  </w:font>
  <w:font w:name="仿宋_GB2312">
    <w:panose1 w:val="02010609030101010101"/>
    <w:charset w:val="86"/>
    <w:family w:val="modern"/>
    <w:pitch w:val="default"/>
    <w:sig w:usb0="00000001" w:usb1="080E0000" w:usb2="00000000" w:usb3="00000000" w:csb0="00040000" w:csb1="00000000"/>
    <w:embedRegular r:id="rId7" w:fontKey="{C5B4D25F-8777-43B6-BCE3-CB35CA9099F7}"/>
  </w:font>
  <w:font w:name="方正小标宋简体">
    <w:panose1 w:val="02000000000000000000"/>
    <w:charset w:val="86"/>
    <w:family w:val="auto"/>
    <w:pitch w:val="default"/>
    <w:sig w:usb0="00000001" w:usb1="080E0000" w:usb2="00000000" w:usb3="00000000" w:csb0="00040000" w:csb1="00000000"/>
    <w:embedRegular r:id="rId8" w:fontKey="{890E7342-9CD4-46AA-B978-B48F2B8F7A4F}"/>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embedRegular r:id="rId9" w:fontKey="{E70B50CE-3359-45A3-A335-0771AEF1F47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22060138"/>
    </w:sdtPr>
    <w:sdtEndPr>
      <w:rPr>
        <w:rFonts w:ascii="Times New Roman" w:hAnsi="Times New Roman" w:cs="Times New Roman"/>
        <w:sz w:val="28"/>
        <w:szCs w:val="28"/>
      </w:rPr>
    </w:sdtEndPr>
    <w:sdtContent>
      <w:p w14:paraId="69308E6E">
        <w:pPr>
          <w:pStyle w:val="6"/>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5</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5646346"/>
    </w:sdtPr>
    <w:sdtEndPr>
      <w:rPr>
        <w:rFonts w:ascii="Times New Roman" w:hAnsi="Times New Roman" w:cs="Times New Roman"/>
        <w:sz w:val="28"/>
        <w:szCs w:val="28"/>
      </w:rPr>
    </w:sdtEndPr>
    <w:sdtContent>
      <w:p w14:paraId="5379C4D5">
        <w:pPr>
          <w:pStyle w:val="6"/>
          <w:ind w:firstLine="270" w:firstLineChars="15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6</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bordersDoNotSurroundHeader w:val="1"/>
  <w:bordersDoNotSurroundFooter w:val="1"/>
  <w:attachedTemplate r:id="rId1"/>
  <w:documentProtection w:enforcement="0"/>
  <w:defaultTabStop w:val="420"/>
  <w:evenAndOddHeaders w:val="1"/>
  <w:drawingGridHorizontalSpacing w:val="156"/>
  <w:drawingGridVerticalSpacing w:val="577"/>
  <w:displayHorizontalDrawingGridEvery w:val="0"/>
  <w:displayVerticalDrawingGridEvery w:val="2"/>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k0YTQzNzM2ZTFiNTg5ZDg3ZWI4NmI4OWVmZDViNzAifQ=="/>
  </w:docVars>
  <w:rsids>
    <w:rsidRoot w:val="00A72919"/>
    <w:rsid w:val="000044A0"/>
    <w:rsid w:val="00013A6A"/>
    <w:rsid w:val="00014B72"/>
    <w:rsid w:val="00022FB8"/>
    <w:rsid w:val="00027D6E"/>
    <w:rsid w:val="00030B15"/>
    <w:rsid w:val="00047AA4"/>
    <w:rsid w:val="00055171"/>
    <w:rsid w:val="00077B58"/>
    <w:rsid w:val="000A3C0D"/>
    <w:rsid w:val="000A67D9"/>
    <w:rsid w:val="000B0F5E"/>
    <w:rsid w:val="000D6A64"/>
    <w:rsid w:val="000E3BC9"/>
    <w:rsid w:val="000F6FBB"/>
    <w:rsid w:val="000F7A71"/>
    <w:rsid w:val="001001BF"/>
    <w:rsid w:val="00111158"/>
    <w:rsid w:val="00120512"/>
    <w:rsid w:val="00122740"/>
    <w:rsid w:val="00134E82"/>
    <w:rsid w:val="00137BA5"/>
    <w:rsid w:val="001613A8"/>
    <w:rsid w:val="00164056"/>
    <w:rsid w:val="001659C7"/>
    <w:rsid w:val="001740D8"/>
    <w:rsid w:val="00176432"/>
    <w:rsid w:val="00180691"/>
    <w:rsid w:val="00192A77"/>
    <w:rsid w:val="00196C9F"/>
    <w:rsid w:val="001A15AC"/>
    <w:rsid w:val="001A3B18"/>
    <w:rsid w:val="001A4D7B"/>
    <w:rsid w:val="001B2074"/>
    <w:rsid w:val="001B5684"/>
    <w:rsid w:val="001C3772"/>
    <w:rsid w:val="001C4193"/>
    <w:rsid w:val="001C5F01"/>
    <w:rsid w:val="001C63A4"/>
    <w:rsid w:val="001C6C10"/>
    <w:rsid w:val="001D6111"/>
    <w:rsid w:val="001D7E2C"/>
    <w:rsid w:val="001E32AC"/>
    <w:rsid w:val="001E46D7"/>
    <w:rsid w:val="001E48D5"/>
    <w:rsid w:val="001F3299"/>
    <w:rsid w:val="00216360"/>
    <w:rsid w:val="002215F9"/>
    <w:rsid w:val="00221B66"/>
    <w:rsid w:val="00222BF7"/>
    <w:rsid w:val="0022325B"/>
    <w:rsid w:val="00234C34"/>
    <w:rsid w:val="00243F74"/>
    <w:rsid w:val="00251D5E"/>
    <w:rsid w:val="00255631"/>
    <w:rsid w:val="00262190"/>
    <w:rsid w:val="00262F8B"/>
    <w:rsid w:val="00265CBA"/>
    <w:rsid w:val="0026634B"/>
    <w:rsid w:val="002672BA"/>
    <w:rsid w:val="00277256"/>
    <w:rsid w:val="0028164A"/>
    <w:rsid w:val="002D1D60"/>
    <w:rsid w:val="002D2105"/>
    <w:rsid w:val="002D4275"/>
    <w:rsid w:val="002D7ACE"/>
    <w:rsid w:val="002E2A09"/>
    <w:rsid w:val="002E5C02"/>
    <w:rsid w:val="002F0783"/>
    <w:rsid w:val="0030202D"/>
    <w:rsid w:val="00310A7F"/>
    <w:rsid w:val="00311F0D"/>
    <w:rsid w:val="00330A72"/>
    <w:rsid w:val="003539FC"/>
    <w:rsid w:val="00354B37"/>
    <w:rsid w:val="003779C4"/>
    <w:rsid w:val="003839F3"/>
    <w:rsid w:val="00387133"/>
    <w:rsid w:val="003A16A2"/>
    <w:rsid w:val="003A3701"/>
    <w:rsid w:val="003A3E54"/>
    <w:rsid w:val="003C03F6"/>
    <w:rsid w:val="003C376C"/>
    <w:rsid w:val="003C4BE5"/>
    <w:rsid w:val="003D2FE4"/>
    <w:rsid w:val="003D4369"/>
    <w:rsid w:val="003E274A"/>
    <w:rsid w:val="003F2B01"/>
    <w:rsid w:val="00400787"/>
    <w:rsid w:val="00406824"/>
    <w:rsid w:val="00407E35"/>
    <w:rsid w:val="00440F8A"/>
    <w:rsid w:val="004415ED"/>
    <w:rsid w:val="00445496"/>
    <w:rsid w:val="00453C6A"/>
    <w:rsid w:val="004547EE"/>
    <w:rsid w:val="00455838"/>
    <w:rsid w:val="00465033"/>
    <w:rsid w:val="00470269"/>
    <w:rsid w:val="004848B3"/>
    <w:rsid w:val="00484FE5"/>
    <w:rsid w:val="00490415"/>
    <w:rsid w:val="004940C7"/>
    <w:rsid w:val="004B2E07"/>
    <w:rsid w:val="004C2518"/>
    <w:rsid w:val="004C5FBC"/>
    <w:rsid w:val="004D50AE"/>
    <w:rsid w:val="004D5F83"/>
    <w:rsid w:val="004E66FD"/>
    <w:rsid w:val="00520445"/>
    <w:rsid w:val="00532479"/>
    <w:rsid w:val="0053502A"/>
    <w:rsid w:val="00542316"/>
    <w:rsid w:val="00546604"/>
    <w:rsid w:val="005634D3"/>
    <w:rsid w:val="00566E2F"/>
    <w:rsid w:val="00581CB9"/>
    <w:rsid w:val="00590E94"/>
    <w:rsid w:val="005A02CB"/>
    <w:rsid w:val="005A1040"/>
    <w:rsid w:val="005A4719"/>
    <w:rsid w:val="005A71F4"/>
    <w:rsid w:val="005B17A9"/>
    <w:rsid w:val="005B7FB1"/>
    <w:rsid w:val="005C1B4E"/>
    <w:rsid w:val="005D3BE8"/>
    <w:rsid w:val="00620430"/>
    <w:rsid w:val="00625589"/>
    <w:rsid w:val="0062718A"/>
    <w:rsid w:val="00631B8E"/>
    <w:rsid w:val="00633F67"/>
    <w:rsid w:val="00640522"/>
    <w:rsid w:val="00643A3F"/>
    <w:rsid w:val="00653522"/>
    <w:rsid w:val="00661207"/>
    <w:rsid w:val="00680E17"/>
    <w:rsid w:val="0069269D"/>
    <w:rsid w:val="006952C3"/>
    <w:rsid w:val="00696EF5"/>
    <w:rsid w:val="006B3838"/>
    <w:rsid w:val="006B6848"/>
    <w:rsid w:val="006D4D35"/>
    <w:rsid w:val="006F475B"/>
    <w:rsid w:val="007228E3"/>
    <w:rsid w:val="00731D69"/>
    <w:rsid w:val="00745D45"/>
    <w:rsid w:val="007502A1"/>
    <w:rsid w:val="00755C0D"/>
    <w:rsid w:val="007629E8"/>
    <w:rsid w:val="00776334"/>
    <w:rsid w:val="007767B9"/>
    <w:rsid w:val="007829A2"/>
    <w:rsid w:val="007C1F67"/>
    <w:rsid w:val="007C31B7"/>
    <w:rsid w:val="007D2BC8"/>
    <w:rsid w:val="007D4514"/>
    <w:rsid w:val="007D7D8C"/>
    <w:rsid w:val="007E3BE4"/>
    <w:rsid w:val="007F1A60"/>
    <w:rsid w:val="0080008D"/>
    <w:rsid w:val="008017A6"/>
    <w:rsid w:val="00804651"/>
    <w:rsid w:val="00812A08"/>
    <w:rsid w:val="008171B0"/>
    <w:rsid w:val="00837DEA"/>
    <w:rsid w:val="0084404B"/>
    <w:rsid w:val="008517E5"/>
    <w:rsid w:val="0085406F"/>
    <w:rsid w:val="00854A88"/>
    <w:rsid w:val="00855E17"/>
    <w:rsid w:val="008629FF"/>
    <w:rsid w:val="0086691F"/>
    <w:rsid w:val="00885C5E"/>
    <w:rsid w:val="00886BF3"/>
    <w:rsid w:val="0088746A"/>
    <w:rsid w:val="008935A7"/>
    <w:rsid w:val="008A57A9"/>
    <w:rsid w:val="008A7B50"/>
    <w:rsid w:val="008B31D1"/>
    <w:rsid w:val="008B502B"/>
    <w:rsid w:val="008C7D11"/>
    <w:rsid w:val="008D0EB2"/>
    <w:rsid w:val="008F3266"/>
    <w:rsid w:val="008F44B5"/>
    <w:rsid w:val="008F4E23"/>
    <w:rsid w:val="00900508"/>
    <w:rsid w:val="009007FF"/>
    <w:rsid w:val="009106E6"/>
    <w:rsid w:val="00916661"/>
    <w:rsid w:val="00922263"/>
    <w:rsid w:val="00923BE0"/>
    <w:rsid w:val="00931F95"/>
    <w:rsid w:val="00944379"/>
    <w:rsid w:val="00944EE7"/>
    <w:rsid w:val="009527BE"/>
    <w:rsid w:val="009618C8"/>
    <w:rsid w:val="00962B95"/>
    <w:rsid w:val="00971299"/>
    <w:rsid w:val="00995D6A"/>
    <w:rsid w:val="009A3A86"/>
    <w:rsid w:val="009C4BC7"/>
    <w:rsid w:val="009E1217"/>
    <w:rsid w:val="009E6AFC"/>
    <w:rsid w:val="00A0384C"/>
    <w:rsid w:val="00A14F7B"/>
    <w:rsid w:val="00A220B6"/>
    <w:rsid w:val="00A25DC7"/>
    <w:rsid w:val="00A260B2"/>
    <w:rsid w:val="00A339A0"/>
    <w:rsid w:val="00A40E01"/>
    <w:rsid w:val="00A4329B"/>
    <w:rsid w:val="00A45240"/>
    <w:rsid w:val="00A526BB"/>
    <w:rsid w:val="00A571B2"/>
    <w:rsid w:val="00A64785"/>
    <w:rsid w:val="00A72919"/>
    <w:rsid w:val="00A74F7D"/>
    <w:rsid w:val="00A75AEB"/>
    <w:rsid w:val="00A8000B"/>
    <w:rsid w:val="00A84D46"/>
    <w:rsid w:val="00A915EA"/>
    <w:rsid w:val="00A929EF"/>
    <w:rsid w:val="00A94139"/>
    <w:rsid w:val="00AA4FEE"/>
    <w:rsid w:val="00AB13C2"/>
    <w:rsid w:val="00AB2E14"/>
    <w:rsid w:val="00AB7102"/>
    <w:rsid w:val="00AC0834"/>
    <w:rsid w:val="00AC1EFD"/>
    <w:rsid w:val="00AE7974"/>
    <w:rsid w:val="00AF18DA"/>
    <w:rsid w:val="00AF1FE3"/>
    <w:rsid w:val="00AF2D96"/>
    <w:rsid w:val="00AF2FCC"/>
    <w:rsid w:val="00B1657A"/>
    <w:rsid w:val="00B23A12"/>
    <w:rsid w:val="00B30F10"/>
    <w:rsid w:val="00B33831"/>
    <w:rsid w:val="00B360BA"/>
    <w:rsid w:val="00B450EC"/>
    <w:rsid w:val="00B463B1"/>
    <w:rsid w:val="00B54158"/>
    <w:rsid w:val="00B647F4"/>
    <w:rsid w:val="00B7197F"/>
    <w:rsid w:val="00B7209D"/>
    <w:rsid w:val="00BB54BA"/>
    <w:rsid w:val="00BB57DB"/>
    <w:rsid w:val="00BC1A2A"/>
    <w:rsid w:val="00BD0631"/>
    <w:rsid w:val="00BD0D4A"/>
    <w:rsid w:val="00BD0D5D"/>
    <w:rsid w:val="00BD66C7"/>
    <w:rsid w:val="00BF3C6E"/>
    <w:rsid w:val="00BF7B90"/>
    <w:rsid w:val="00C11776"/>
    <w:rsid w:val="00C143EB"/>
    <w:rsid w:val="00C17A79"/>
    <w:rsid w:val="00C30E21"/>
    <w:rsid w:val="00C705DF"/>
    <w:rsid w:val="00C854E1"/>
    <w:rsid w:val="00C869F5"/>
    <w:rsid w:val="00C87223"/>
    <w:rsid w:val="00C91892"/>
    <w:rsid w:val="00C97182"/>
    <w:rsid w:val="00CA3F13"/>
    <w:rsid w:val="00CB1DFF"/>
    <w:rsid w:val="00CB574F"/>
    <w:rsid w:val="00CC443F"/>
    <w:rsid w:val="00CD4C33"/>
    <w:rsid w:val="00CD7A30"/>
    <w:rsid w:val="00CE3094"/>
    <w:rsid w:val="00CE726B"/>
    <w:rsid w:val="00CF1AE6"/>
    <w:rsid w:val="00D02F5A"/>
    <w:rsid w:val="00D0318A"/>
    <w:rsid w:val="00D056C1"/>
    <w:rsid w:val="00D057BA"/>
    <w:rsid w:val="00D1036A"/>
    <w:rsid w:val="00D11489"/>
    <w:rsid w:val="00D12D05"/>
    <w:rsid w:val="00D2515A"/>
    <w:rsid w:val="00D27289"/>
    <w:rsid w:val="00D420C4"/>
    <w:rsid w:val="00D65E9F"/>
    <w:rsid w:val="00D867AE"/>
    <w:rsid w:val="00D9127E"/>
    <w:rsid w:val="00DA7CDB"/>
    <w:rsid w:val="00DB7156"/>
    <w:rsid w:val="00DD0D46"/>
    <w:rsid w:val="00DD2563"/>
    <w:rsid w:val="00DD29A6"/>
    <w:rsid w:val="00DD6F07"/>
    <w:rsid w:val="00DD718A"/>
    <w:rsid w:val="00DE1946"/>
    <w:rsid w:val="00DF07D8"/>
    <w:rsid w:val="00DF149D"/>
    <w:rsid w:val="00E04624"/>
    <w:rsid w:val="00E0593D"/>
    <w:rsid w:val="00E134C9"/>
    <w:rsid w:val="00E13797"/>
    <w:rsid w:val="00E15EE9"/>
    <w:rsid w:val="00E24535"/>
    <w:rsid w:val="00E26F06"/>
    <w:rsid w:val="00E33C1D"/>
    <w:rsid w:val="00E34E53"/>
    <w:rsid w:val="00E47A39"/>
    <w:rsid w:val="00E546B9"/>
    <w:rsid w:val="00E74E57"/>
    <w:rsid w:val="00E81587"/>
    <w:rsid w:val="00E851F5"/>
    <w:rsid w:val="00E85A0E"/>
    <w:rsid w:val="00E877E1"/>
    <w:rsid w:val="00EB1B90"/>
    <w:rsid w:val="00EB63EF"/>
    <w:rsid w:val="00EB6505"/>
    <w:rsid w:val="00EC2C5A"/>
    <w:rsid w:val="00ED024B"/>
    <w:rsid w:val="00ED1BB6"/>
    <w:rsid w:val="00EE479A"/>
    <w:rsid w:val="00EE7900"/>
    <w:rsid w:val="00EF0F70"/>
    <w:rsid w:val="00EF3A7A"/>
    <w:rsid w:val="00F07862"/>
    <w:rsid w:val="00F10BD3"/>
    <w:rsid w:val="00F244C6"/>
    <w:rsid w:val="00F27225"/>
    <w:rsid w:val="00F34512"/>
    <w:rsid w:val="00F40255"/>
    <w:rsid w:val="00F52ABD"/>
    <w:rsid w:val="00F60BF6"/>
    <w:rsid w:val="00F6533D"/>
    <w:rsid w:val="00F7118B"/>
    <w:rsid w:val="00F75505"/>
    <w:rsid w:val="00FB2036"/>
    <w:rsid w:val="00FB386F"/>
    <w:rsid w:val="00FC1C4B"/>
    <w:rsid w:val="00FC3FDF"/>
    <w:rsid w:val="00FD561B"/>
    <w:rsid w:val="00FE00CD"/>
    <w:rsid w:val="00FE24A2"/>
    <w:rsid w:val="00FF1E97"/>
    <w:rsid w:val="00FF67BF"/>
    <w:rsid w:val="00FF7F6B"/>
    <w:rsid w:val="01FC00ED"/>
    <w:rsid w:val="0288692B"/>
    <w:rsid w:val="028B5457"/>
    <w:rsid w:val="0901643F"/>
    <w:rsid w:val="0A432ABB"/>
    <w:rsid w:val="0B0373BC"/>
    <w:rsid w:val="0B4401EF"/>
    <w:rsid w:val="0C5040D2"/>
    <w:rsid w:val="0E79232B"/>
    <w:rsid w:val="0EB83A3B"/>
    <w:rsid w:val="0FE8729B"/>
    <w:rsid w:val="117D6CED"/>
    <w:rsid w:val="128115FD"/>
    <w:rsid w:val="135710C8"/>
    <w:rsid w:val="13FF7A53"/>
    <w:rsid w:val="1689179C"/>
    <w:rsid w:val="194D2D9C"/>
    <w:rsid w:val="1A2D17B4"/>
    <w:rsid w:val="1A8B6408"/>
    <w:rsid w:val="1C1B73F4"/>
    <w:rsid w:val="1C5E18E8"/>
    <w:rsid w:val="22411897"/>
    <w:rsid w:val="24015121"/>
    <w:rsid w:val="25164BFC"/>
    <w:rsid w:val="267E6EFD"/>
    <w:rsid w:val="27F751B9"/>
    <w:rsid w:val="2AF81A27"/>
    <w:rsid w:val="2D8D63BF"/>
    <w:rsid w:val="2DB879BC"/>
    <w:rsid w:val="2E15031B"/>
    <w:rsid w:val="2F067A90"/>
    <w:rsid w:val="3075311F"/>
    <w:rsid w:val="30A54B43"/>
    <w:rsid w:val="31D677DA"/>
    <w:rsid w:val="35337105"/>
    <w:rsid w:val="361A375E"/>
    <w:rsid w:val="37152F66"/>
    <w:rsid w:val="37405B09"/>
    <w:rsid w:val="377817DA"/>
    <w:rsid w:val="38272606"/>
    <w:rsid w:val="38C0719F"/>
    <w:rsid w:val="394A7C16"/>
    <w:rsid w:val="3AFB7B91"/>
    <w:rsid w:val="3C6B3628"/>
    <w:rsid w:val="3E8776B3"/>
    <w:rsid w:val="40E51BFB"/>
    <w:rsid w:val="41F8595E"/>
    <w:rsid w:val="449B2008"/>
    <w:rsid w:val="45486BFC"/>
    <w:rsid w:val="463902F3"/>
    <w:rsid w:val="4709474B"/>
    <w:rsid w:val="494B2817"/>
    <w:rsid w:val="4C7107E7"/>
    <w:rsid w:val="4D221AE1"/>
    <w:rsid w:val="52584BD7"/>
    <w:rsid w:val="53E33EC5"/>
    <w:rsid w:val="592E180D"/>
    <w:rsid w:val="5976568E"/>
    <w:rsid w:val="5A845B89"/>
    <w:rsid w:val="5CB62246"/>
    <w:rsid w:val="5ECE3FD7"/>
    <w:rsid w:val="60E77A55"/>
    <w:rsid w:val="63213671"/>
    <w:rsid w:val="66E8749F"/>
    <w:rsid w:val="670B0BEF"/>
    <w:rsid w:val="67A90BE7"/>
    <w:rsid w:val="69D50B29"/>
    <w:rsid w:val="6A102F95"/>
    <w:rsid w:val="70A1528F"/>
    <w:rsid w:val="73AF1A71"/>
    <w:rsid w:val="7AE8794E"/>
    <w:rsid w:val="7B1E4051"/>
    <w:rsid w:val="7CC216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32"/>
      <w:szCs w:val="24"/>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2">
    <w:name w:val="Body Text"/>
    <w:basedOn w:val="1"/>
    <w:link w:val="16"/>
    <w:autoRedefine/>
    <w:qFormat/>
    <w:uiPriority w:val="0"/>
    <w:pPr>
      <w:adjustRightInd w:val="0"/>
      <w:snapToGrid w:val="0"/>
      <w:spacing w:line="500" w:lineRule="atLeast"/>
    </w:pPr>
    <w:rPr>
      <w:rFonts w:ascii="宋体"/>
      <w:bCs/>
      <w:sz w:val="28"/>
    </w:rPr>
  </w:style>
  <w:style w:type="paragraph" w:styleId="3">
    <w:name w:val="Body Text Indent"/>
    <w:basedOn w:val="1"/>
    <w:link w:val="15"/>
    <w:autoRedefine/>
    <w:qFormat/>
    <w:uiPriority w:val="0"/>
    <w:pPr>
      <w:adjustRightInd w:val="0"/>
      <w:snapToGrid w:val="0"/>
      <w:spacing w:line="460" w:lineRule="atLeast"/>
      <w:ind w:firstLine="461" w:firstLineChars="192"/>
    </w:pPr>
    <w:rPr>
      <w:sz w:val="24"/>
    </w:rPr>
  </w:style>
  <w:style w:type="paragraph" w:styleId="4">
    <w:name w:val="Date"/>
    <w:basedOn w:val="1"/>
    <w:next w:val="1"/>
    <w:link w:val="18"/>
    <w:semiHidden/>
    <w:unhideWhenUsed/>
    <w:qFormat/>
    <w:uiPriority w:val="99"/>
    <w:pPr>
      <w:ind w:left="100" w:leftChars="2500"/>
    </w:pPr>
  </w:style>
  <w:style w:type="paragraph" w:styleId="5">
    <w:name w:val="Balloon Text"/>
    <w:basedOn w:val="1"/>
    <w:link w:val="17"/>
    <w:autoRedefine/>
    <w:semiHidden/>
    <w:unhideWhenUsed/>
    <w:qFormat/>
    <w:uiPriority w:val="99"/>
    <w:rPr>
      <w:sz w:val="18"/>
      <w:szCs w:val="18"/>
    </w:rPr>
  </w:style>
  <w:style w:type="paragraph" w:styleId="6">
    <w:name w:val="footer"/>
    <w:basedOn w:val="1"/>
    <w:link w:val="14"/>
    <w:autoRedefine/>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7">
    <w:name w:val="header"/>
    <w:basedOn w:val="1"/>
    <w:link w:val="13"/>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table" w:styleId="9">
    <w:name w:val="Table Grid"/>
    <w:basedOn w:val="8"/>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line number"/>
    <w:basedOn w:val="10"/>
    <w:autoRedefine/>
    <w:semiHidden/>
    <w:unhideWhenUsed/>
    <w:qFormat/>
    <w:uiPriority w:val="99"/>
  </w:style>
  <w:style w:type="character" w:styleId="12">
    <w:name w:val="Hyperlink"/>
    <w:basedOn w:val="10"/>
    <w:autoRedefine/>
    <w:unhideWhenUsed/>
    <w:qFormat/>
    <w:uiPriority w:val="99"/>
    <w:rPr>
      <w:color w:val="0000FF" w:themeColor="hyperlink"/>
      <w:u w:val="single"/>
      <w14:textFill>
        <w14:solidFill>
          <w14:schemeClr w14:val="hlink"/>
        </w14:solidFill>
      </w14:textFill>
    </w:rPr>
  </w:style>
  <w:style w:type="character" w:customStyle="1" w:styleId="13">
    <w:name w:val="页眉 字符"/>
    <w:basedOn w:val="10"/>
    <w:link w:val="7"/>
    <w:autoRedefine/>
    <w:qFormat/>
    <w:uiPriority w:val="99"/>
    <w:rPr>
      <w:sz w:val="18"/>
      <w:szCs w:val="18"/>
    </w:rPr>
  </w:style>
  <w:style w:type="character" w:customStyle="1" w:styleId="14">
    <w:name w:val="页脚 字符"/>
    <w:basedOn w:val="10"/>
    <w:link w:val="6"/>
    <w:qFormat/>
    <w:uiPriority w:val="99"/>
    <w:rPr>
      <w:sz w:val="18"/>
      <w:szCs w:val="18"/>
    </w:rPr>
  </w:style>
  <w:style w:type="character" w:customStyle="1" w:styleId="15">
    <w:name w:val="正文文本缩进 字符"/>
    <w:basedOn w:val="10"/>
    <w:link w:val="3"/>
    <w:autoRedefine/>
    <w:qFormat/>
    <w:uiPriority w:val="0"/>
    <w:rPr>
      <w:rFonts w:ascii="Times New Roman" w:hAnsi="Times New Roman" w:eastAsia="宋体" w:cs="Times New Roman"/>
      <w:sz w:val="24"/>
      <w:szCs w:val="24"/>
    </w:rPr>
  </w:style>
  <w:style w:type="character" w:customStyle="1" w:styleId="16">
    <w:name w:val="正文文本 字符"/>
    <w:basedOn w:val="10"/>
    <w:link w:val="2"/>
    <w:autoRedefine/>
    <w:qFormat/>
    <w:uiPriority w:val="0"/>
    <w:rPr>
      <w:rFonts w:ascii="宋体" w:hAnsi="Times New Roman" w:eastAsia="宋体" w:cs="Times New Roman"/>
      <w:bCs/>
      <w:sz w:val="28"/>
      <w:szCs w:val="24"/>
    </w:rPr>
  </w:style>
  <w:style w:type="character" w:customStyle="1" w:styleId="17">
    <w:name w:val="批注框文本 字符"/>
    <w:basedOn w:val="10"/>
    <w:link w:val="5"/>
    <w:autoRedefine/>
    <w:semiHidden/>
    <w:qFormat/>
    <w:uiPriority w:val="99"/>
    <w:rPr>
      <w:rFonts w:ascii="Times New Roman" w:hAnsi="Times New Roman" w:eastAsia="宋体" w:cs="Times New Roman"/>
      <w:sz w:val="18"/>
      <w:szCs w:val="18"/>
    </w:rPr>
  </w:style>
  <w:style w:type="character" w:customStyle="1" w:styleId="18">
    <w:name w:val="日期 字符"/>
    <w:basedOn w:val="10"/>
    <w:link w:val="4"/>
    <w:semiHidden/>
    <w:qFormat/>
    <w:uiPriority w:val="99"/>
    <w:rPr>
      <w:rFonts w:eastAsia="仿宋_GB2312"/>
      <w:kern w:val="2"/>
      <w:sz w:val="32"/>
      <w:szCs w:val="24"/>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2.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D1A0122-1AAB-4903-911F-01FC6A271221}">
  <ds:schemaRefs/>
</ds:datastoreItem>
</file>

<file path=docProps/app.xml><?xml version="1.0" encoding="utf-8"?>
<Properties xmlns="http://schemas.openxmlformats.org/officeDocument/2006/extended-properties" xmlns:vt="http://schemas.openxmlformats.org/officeDocument/2006/docPropsVTypes">
  <Template>中山大学-智能红头</Template>
  <Company>SYSU</Company>
  <Pages>6</Pages>
  <Words>2478</Words>
  <Characters>2619</Characters>
  <Lines>19</Lines>
  <Paragraphs>5</Paragraphs>
  <TotalTime>49</TotalTime>
  <ScaleCrop>false</ScaleCrop>
  <LinksUpToDate>false</LinksUpToDate>
  <CharactersWithSpaces>2634</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2018-04-16T02:40:00Z</dcterms:created>
  <dc:creator>Administrator</dc:creator>
  <cp:lastModifiedBy>amandoti</cp:lastModifiedBy>
  <cp:lastPrinted>2016-11-03T09:16:00Z</cp:lastPrinted>
  <dcterms:modified xsi:type="dcterms:W3CDTF">2025-03-18T02:41:56Z</dcterms:modified>
  <cp:revision>240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C548C97EA7F84EEC893E9BE82EC2F7A9_12</vt:lpwstr>
  </property>
  <property fmtid="{D5CDD505-2E9C-101B-9397-08002B2CF9AE}" pid="4" name="KSOTemplateDocerSaveRecord">
    <vt:lpwstr>eyJoZGlkIjoiNTE5MTBhMzBiZTRiOTA4YmEyYjg3ZmRiMDNkMWNiYjQiLCJ1c2VySWQiOiIzMjI0NzgxMDAifQ==</vt:lpwstr>
  </property>
</Properties>
</file>