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337BB">
      <w:pPr>
        <w:overflowPunct w:val="0"/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15704FCC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D0D0D" w:themeColor="text1" w:themeTint="F2"/>
          <w:kern w:val="36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“笔墨中国”汉字书写大赛活动方案</w:t>
      </w:r>
    </w:p>
    <w:p w14:paraId="31E5C399">
      <w:pPr>
        <w:overflowPunct w:val="0"/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 w14:paraId="4623D32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黑体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一、活动主题</w:t>
      </w:r>
    </w:p>
    <w:p w14:paraId="52E30900">
      <w:pPr>
        <w:widowControl/>
        <w:ind w:firstLine="620" w:firstLineChars="200"/>
        <w:jc w:val="left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典耀中华，赓续文脉</w:t>
      </w:r>
    </w:p>
    <w:p w14:paraId="1524F29D">
      <w:pPr>
        <w:widowControl/>
        <w:shd w:val="clear" w:color="auto" w:fill="FFFFFF"/>
        <w:ind w:firstLine="645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二、组织单位</w:t>
      </w:r>
    </w:p>
    <w:p w14:paraId="09B945BF">
      <w:pPr>
        <w:widowControl/>
        <w:shd w:val="clear" w:color="auto" w:fill="FFFFFF"/>
        <w:ind w:firstLine="645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主办单位：党委学生工作部</w:t>
      </w:r>
    </w:p>
    <w:p w14:paraId="2B9F6342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承办单位：社会学与人类学学院</w:t>
      </w:r>
    </w:p>
    <w:p w14:paraId="14A412C5"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参赛对象和组别</w:t>
      </w:r>
    </w:p>
    <w:p w14:paraId="20E5CEA3">
      <w:pPr>
        <w:widowControl/>
        <w:ind w:firstLine="6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参赛对象为全校师生。</w:t>
      </w:r>
    </w:p>
    <w:p w14:paraId="75C536ED">
      <w:pPr>
        <w:widowControl/>
        <w:ind w:firstLine="620" w:firstLineChars="200"/>
        <w:jc w:val="left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设硬笔、毛笔和粉笔三个类别。其中硬笔、毛笔每个类别分为大学生组（含研究生、留学生）、教师组；粉笔类别为大学教师组，共5个组别。</w:t>
      </w:r>
    </w:p>
    <w:p w14:paraId="150DB82A">
      <w:pPr>
        <w:ind w:firstLine="640" w:firstLineChars="200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四、参赛要求</w:t>
      </w:r>
    </w:p>
    <w:p w14:paraId="338AF542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（一）作品内容</w:t>
      </w:r>
    </w:p>
    <w:p w14:paraId="7ECDF643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体现中华优秀文化、爱国情怀以及反映积极向上时代精神的古今诗文、楹联、词语、名言警句，或中华优秀图书的内容节选等。当代内容以正式出版或主流媒体公开发表为准，内容主题须相对完整，改编、自创以及网络文本等不在征集之列。</w:t>
      </w:r>
    </w:p>
    <w:p w14:paraId="04D923B6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硬笔类、粉笔类作品须使用规范汉字（以《通用规范汉字表》为依据），字体要求使用楷书或行书，书写笔画形态和离合关系正确，行书作品不能随意改变笔画形态和夹带草书；毛笔类作品鼓励使用规范汉字，因艺术表达需要可使用繁体字及经典碑帖中所见的写法，字体不限（篆书、草书须附释文），但须通篇统一，不可提交临摹作品。</w:t>
      </w:r>
    </w:p>
    <w:p w14:paraId="6745518E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（二）作品要求</w:t>
      </w:r>
    </w:p>
    <w:p w14:paraId="02EBD821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硬笔类作品可使用中性笔、钢笔、秀丽笔。硬笔类作品用纸规格不超过A3纸大小（29.7cm×42cm以内）。</w:t>
      </w:r>
    </w:p>
    <w:p w14:paraId="2934EA71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毛笔类作品用纸规格为四尺三裁至六尺整张宣纸（46cm×69cm至95cm×180cm），一律为竖式，不得托裱。手卷、册页等形式不在参赛范围之内。</w:t>
      </w:r>
    </w:p>
    <w:p w14:paraId="7C001587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粉笔类作品一律使用白色粉笔，横排横写。</w:t>
      </w:r>
    </w:p>
    <w:p w14:paraId="2A2E7D2B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（三）提交要求</w:t>
      </w:r>
    </w:p>
    <w:p w14:paraId="7D629081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参赛作品应为2025年新创作的作品，由参赛者独立完成。参赛人员需同时提交参赛作品图片与书写视频（书写视频旨在证明作品确为本人书写）。</w:t>
      </w:r>
    </w:p>
    <w:p w14:paraId="529CB423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1.参赛作品图片要求</w:t>
      </w:r>
    </w:p>
    <w:p w14:paraId="7867D2F2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硬笔类作品上传分辨率为300DPI以上的扫描图片；毛笔类、粉笔类作品上传高清照片，格式为JPG或JPEG，大小为2—10M，要求能体现作品整体效果与细节特点。</w:t>
      </w:r>
    </w:p>
    <w:p w14:paraId="40449FEE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2.书写视频要求</w:t>
      </w:r>
    </w:p>
    <w:p w14:paraId="65F4A43E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拍摄参赛者上半身书写视频，摄像设备放在参赛者左侧（左手书写者在右侧拍摄）。开始书写前，参赛者本人须手持能证明身份的证件（身份证或医保卡、学生证、工作证等带有本人照片的证件），将持证的手臂和上半身拍进视频，头发不得遮挡面部，需露出五官，并确保证件上的姓名、照片清晰可见（注：证件上姓名、本人照片不能遮挡或被手指捏住；为确保隐私安全，其他信息可以部分遮挡），持续5秒。</w:t>
      </w:r>
    </w:p>
    <w:p w14:paraId="549DF5B2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完成以上操作后，即可进入书写环节的录制，书写内容应为参赛提交作品内容中的一部分，以体现本人书写水平。书写环节录制视频时长控制在2分钟内，在录制作品书写的过程中，无须将作品全部写完。随后，进入展示环节的录制，请参赛者手持该作品正对手机或摄像机，停留并录制5秒。总体拍摄画面应清晰展示书写内容，拍摄内容不得中断，视频不得剪辑。视频总时长不超过3分钟，300MB以内，MP4格式。</w:t>
      </w:r>
    </w:p>
    <w:p w14:paraId="67D334FF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（四）其他要求</w:t>
      </w:r>
    </w:p>
    <w:p w14:paraId="176F7366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参赛者需使用铅笔及规范汉字准确将姓名、作品类型、作品名称、组别信息、指导教师、所在学校等信息写至作品背面右下角处。毛笔类作品还需写明书体信息。</w:t>
      </w:r>
    </w:p>
    <w:p w14:paraId="223C7EF0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毛笔类作品字体为篆书、草书的，在上传作品时须附释文。所有参赛作品提交时需附上所抄录内容的版本图片（直接扫描或拍摄出版物的相应章节）和出版物版本信息（图书的封面和版权页）。</w:t>
      </w:r>
    </w:p>
    <w:p w14:paraId="3C0554F5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作品提交后，相关信息不得更改。每人限报 1 件作品，且不得跨组别或类别参赛，限报 1 名指导教师。同一作品的参赛者不得同时署名该作品的指导教师。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加盖公章的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汇总表信息需与纸质作品、大赛官网所填的作品信息一致，经核查不一致的，不予更改，视为无效作品，不参与奖项评选。</w:t>
      </w:r>
    </w:p>
    <w:p w14:paraId="66B62BC1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为进一步浸润书法文化，鼓励参赛者阅读，自主报名时开通了图书推荐功能，每位参赛者需推荐一本自己喜爱的图书并写出推荐语，以增进阅读交流。</w:t>
      </w:r>
    </w:p>
    <w:p w14:paraId="6F7D2A24">
      <w:pPr>
        <w:overflowPunct w:val="0"/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五、赛程安排</w:t>
      </w:r>
    </w:p>
    <w:p w14:paraId="5F52B3FA">
      <w:pPr>
        <w:overflowPunct w:val="0"/>
        <w:adjustRightInd w:val="0"/>
        <w:snapToGrid w:val="0"/>
        <w:spacing w:line="540" w:lineRule="exact"/>
        <w:ind w:firstLine="652" w:firstLineChars="200"/>
        <w:outlineLvl w:val="2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pacing w:val="3"/>
          <w:sz w:val="32"/>
          <w:szCs w:val="32"/>
        </w:rPr>
        <w:t>（一）</w:t>
      </w:r>
      <w:r>
        <w:rPr>
          <w:rFonts w:hint="default" w:ascii="Times New Roman" w:hAnsi="Times New Roman" w:eastAsia="楷体" w:cs="Times New Roman"/>
          <w:spacing w:val="3"/>
          <w:sz w:val="32"/>
          <w:szCs w:val="32"/>
          <w:lang w:val="en-US" w:eastAsia="zh-CN"/>
        </w:rPr>
        <w:t>赛前</w:t>
      </w:r>
      <w:r>
        <w:rPr>
          <w:rFonts w:hint="default" w:ascii="Times New Roman" w:hAnsi="Times New Roman" w:eastAsia="楷体" w:cs="Times New Roman"/>
          <w:sz w:val="32"/>
          <w:szCs w:val="32"/>
        </w:rPr>
        <w:t>在线测试：即日起至2025年5月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楷体" w:cs="Times New Roman"/>
          <w:sz w:val="32"/>
          <w:szCs w:val="32"/>
        </w:rPr>
        <w:t>日</w:t>
      </w:r>
    </w:p>
    <w:p w14:paraId="2A18C228">
      <w:pPr>
        <w:widowControl/>
        <w:ind w:firstLine="640" w:firstLineChars="200"/>
        <w:jc w:val="both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参赛者于5月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日前登录大赛官网（https://jdsxj.eduyun.cn），进入“书写大赛”专区，正确选择参赛地区“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广东省广州市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”，按照参赛指引自主完成报名，并参加语言文字知识及诗词常识初赛测评。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bidi="ar"/>
        </w:rPr>
        <w:t>作品进入评审阶段后，选手相关报名信息将不予更改，若出现前后身份信息、手机号码不一致则取消参赛资格。</w:t>
      </w:r>
    </w:p>
    <w:p w14:paraId="4F7E776B">
      <w:pPr>
        <w:widowControl/>
        <w:ind w:firstLine="6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每人可进行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bidi="ar"/>
        </w:rPr>
        <w:t>多次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语言文字知识及诗词常识初赛测评，系统确定最高分为最终成绩（初赛测评成绩不计入复赛），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bidi="ar"/>
        </w:rPr>
        <w:t>60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lang w:bidi="ar"/>
        </w:rPr>
        <w:t>分以上为测评合格，测试合格者方可有资格按要求录制视频参加下一轮各单位初赛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  <w:t>。在线测试成绩仅作为入围初赛的依据，不计入初赛总成绩。</w:t>
      </w:r>
    </w:p>
    <w:p w14:paraId="70737ADF">
      <w:pPr>
        <w:widowControl/>
        <w:ind w:firstLine="620" w:firstLineChars="200"/>
        <w:jc w:val="left"/>
        <w:rPr>
          <w:rFonts w:hint="default" w:ascii="Times New Roman" w:hAnsi="Times New Roman" w:eastAsia="仿宋_GB2312" w:cs="Times New Roman"/>
          <w:b w:val="0"/>
          <w:color w:val="000000"/>
          <w:kern w:val="0"/>
          <w:sz w:val="31"/>
          <w:szCs w:val="31"/>
          <w:highlight w:val="yellow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kern w:val="0"/>
          <w:sz w:val="31"/>
          <w:szCs w:val="31"/>
          <w:highlight w:val="none"/>
          <w:lang w:val="en-US" w:eastAsia="zh-CN" w:bidi="ar"/>
        </w:rPr>
        <w:t>在此环节，参赛者仅需按要求报名参赛并参加测评，无需上传个人作品至大赛官网。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1"/>
          <w:szCs w:val="31"/>
          <w:highlight w:val="none"/>
          <w:lang w:val="en-US" w:eastAsia="zh-CN" w:bidi="ar"/>
        </w:rPr>
        <w:t>具体上传作品时间由学校完成初赛后通知入围参赛选手。</w:t>
      </w:r>
    </w:p>
    <w:p w14:paraId="34C513A5">
      <w:pPr>
        <w:ind w:firstLine="62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bidi="ar"/>
        </w:rPr>
        <w:t>（二）</w:t>
      </w:r>
      <w:r>
        <w:rPr>
          <w:rFonts w:hint="default" w:ascii="Times New Roman" w:hAnsi="Times New Roman" w:eastAsia="楷体" w:cs="Times New Roman"/>
          <w:sz w:val="32"/>
          <w:szCs w:val="32"/>
        </w:rPr>
        <w:t>报名：5月1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sz w:val="32"/>
          <w:szCs w:val="32"/>
        </w:rPr>
        <w:t>日前</w:t>
      </w:r>
    </w:p>
    <w:p w14:paraId="3267737D">
      <w:pPr>
        <w:widowControl/>
        <w:ind w:firstLine="640" w:firstLineChars="200"/>
        <w:jc w:val="left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上报材料要求：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将在线测评得分截图、院系报名汇总表及参赛作品（含参赛作品图片和书写视频）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打包报送至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邮箱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zdskyxgb@163.com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，文件名按照“院系+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组别+姓名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”命名，其中在线测评截图按照“组别+姓名+分数”，参赛作品按照“院系+组别+姓名”命名。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材料提交截止时间为2025年5月1</w:t>
      </w: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bookmarkStart w:id="0" w:name="_GoBack"/>
      <w:bookmarkEnd w:id="0"/>
    </w:p>
    <w:p w14:paraId="2B179485">
      <w:pPr>
        <w:ind w:firstLine="620" w:firstLineChars="200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bidi="ar"/>
        </w:rPr>
        <w:t>（三）学校评审：</w:t>
      </w: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bidi="ar"/>
        </w:rPr>
        <w:t>月</w:t>
      </w: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default" w:ascii="Times New Roman" w:hAnsi="Times New Roman" w:eastAsia="楷体_GB2312" w:cs="Times New Roman"/>
          <w:color w:val="000000"/>
          <w:kern w:val="0"/>
          <w:sz w:val="31"/>
          <w:szCs w:val="31"/>
          <w:lang w:bidi="ar"/>
        </w:rPr>
        <w:t>日前</w:t>
      </w:r>
    </w:p>
    <w:p w14:paraId="67A205BA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学校统一组织评审，最终确定五个组别的获奖等次，同时设优秀组织奖、优秀指导教师奖若干。</w:t>
      </w:r>
    </w:p>
    <w:p w14:paraId="2551E028">
      <w:pPr>
        <w:ind w:firstLine="640" w:firstLineChars="200"/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六、奖项设置</w:t>
      </w:r>
    </w:p>
    <w:p w14:paraId="650D21E9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硬笔大学生组、毛笔大学生组分别设：一等奖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名、二等奖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名、三等奖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8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名、优秀奖若干，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最终择优推荐选手进入广东省复赛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4A27C0DA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硬笔教师组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、毛笔教师组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粉笔大学教师组分别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highlight w:val="none"/>
          <w:lang w:val="en-US" w:eastAsia="zh-CN" w:bidi="ar"/>
        </w:rPr>
        <w:t>设立入围奖和优秀奖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若干，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最终择优推荐选手进入广东省复赛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21AF4558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如提交作品人数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多于/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少于预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设获奖人数，将根据提交人数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按比例增加/减少二等奖、三等奖的获奖名额。</w:t>
      </w:r>
    </w:p>
    <w:p w14:paraId="54498857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0D0416E">
      <w:pPr>
        <w:ind w:firstLine="640" w:firstLineChars="200"/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联系人：社会学与人类学学院韩老师，020-84110640。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E0CF2F-836C-41D0-9AF3-1F3FE58256C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12FCB8A-C2A8-44C4-B32A-E27BD17F8EF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80B24C1-E6E3-4992-8026-E597237A5EE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BD656A4-A8BF-4004-AA19-9D74DE8555B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9547B6F-C71A-4B94-A91A-D973DECF3C6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FD9E67"/>
    <w:multiLevelType w:val="singleLevel"/>
    <w:tmpl w:val="0CFD9E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IyZjIyZTM0ZDFmNGE4MDhmZDUyNjljYzIzZjM5M2UifQ=="/>
  </w:docVars>
  <w:rsids>
    <w:rsidRoot w:val="6CD35503"/>
    <w:rsid w:val="000549A0"/>
    <w:rsid w:val="000F0FE3"/>
    <w:rsid w:val="0034112C"/>
    <w:rsid w:val="003F5CEE"/>
    <w:rsid w:val="00526A5C"/>
    <w:rsid w:val="0068140C"/>
    <w:rsid w:val="00773BD6"/>
    <w:rsid w:val="00993849"/>
    <w:rsid w:val="009A46E2"/>
    <w:rsid w:val="00BD1B34"/>
    <w:rsid w:val="00F60BD7"/>
    <w:rsid w:val="027F7AEB"/>
    <w:rsid w:val="084331AE"/>
    <w:rsid w:val="0B3279D5"/>
    <w:rsid w:val="0CD2398A"/>
    <w:rsid w:val="0F17035E"/>
    <w:rsid w:val="10073899"/>
    <w:rsid w:val="118714DF"/>
    <w:rsid w:val="14CA5DCD"/>
    <w:rsid w:val="150E42F3"/>
    <w:rsid w:val="151F79E0"/>
    <w:rsid w:val="1AB961D2"/>
    <w:rsid w:val="1F221F87"/>
    <w:rsid w:val="267D35A0"/>
    <w:rsid w:val="26CC1C8B"/>
    <w:rsid w:val="2E6F6A40"/>
    <w:rsid w:val="36A51545"/>
    <w:rsid w:val="3D6B147A"/>
    <w:rsid w:val="463860FC"/>
    <w:rsid w:val="489D1DBD"/>
    <w:rsid w:val="4E93563E"/>
    <w:rsid w:val="4ED75412"/>
    <w:rsid w:val="55B17B55"/>
    <w:rsid w:val="582405B4"/>
    <w:rsid w:val="61DE64C6"/>
    <w:rsid w:val="62781C08"/>
    <w:rsid w:val="651475B5"/>
    <w:rsid w:val="6CD35503"/>
    <w:rsid w:val="6E6574CB"/>
    <w:rsid w:val="6F1C7C5A"/>
    <w:rsid w:val="704B39B9"/>
    <w:rsid w:val="7FC4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1"/>
      <w:lang w:val="en-US" w:eastAsia="zh-CN" w:bidi="ar-SA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Body Text First Indent"/>
    <w:basedOn w:val="5"/>
    <w:link w:val="17"/>
    <w:qFormat/>
    <w:uiPriority w:val="0"/>
    <w:pPr>
      <w:ind w:firstLine="420" w:firstLineChars="100"/>
    </w:pPr>
    <w:rPr>
      <w:rFonts w:ascii="Calibri" w:hAnsi="Calibri" w:eastAsia="宋体" w:cs="宋体"/>
      <w:kern w:val="0"/>
      <w:sz w:val="20"/>
      <w:szCs w:val="20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2 字符"/>
    <w:basedOn w:val="13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6">
    <w:name w:val="正文文本 字符"/>
    <w:basedOn w:val="13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正文首行缩进 字符"/>
    <w:basedOn w:val="16"/>
    <w:link w:val="10"/>
    <w:qFormat/>
    <w:uiPriority w:val="0"/>
    <w:rPr>
      <w:rFonts w:ascii="Calibri" w:hAnsi="Calibri" w:cs="宋体" w:eastAsiaTheme="minorEastAsia"/>
      <w:kern w:val="2"/>
      <w:sz w:val="21"/>
      <w:szCs w:val="24"/>
    </w:rPr>
  </w:style>
  <w:style w:type="character" w:customStyle="1" w:styleId="18">
    <w:name w:val="页眉 字符"/>
    <w:basedOn w:val="13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5</Pages>
  <Words>2116</Words>
  <Characters>2275</Characters>
  <Lines>19</Lines>
  <Paragraphs>5</Paragraphs>
  <TotalTime>3</TotalTime>
  <ScaleCrop>false</ScaleCrop>
  <LinksUpToDate>false</LinksUpToDate>
  <CharactersWithSpaces>2279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2024-10-08T07:37:00Z</dcterms:created>
  <dc:creator>Meini.</dc:creator>
  <cp:lastModifiedBy>nanei</cp:lastModifiedBy>
  <dcterms:modified xsi:type="dcterms:W3CDTF">2025-05-06T03:46:45Z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AFE56A4296E34697ADB29502A19FFD97_13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eyJoZGlkIjoiMmU4Njk4Mzc2OWM0MzE5MjkzZDJhZDQxY2FkNWE2NTQiLCJ1c2VySWQiOiIzOTk3MDQ0NTkifQ==</vt:lpwstr>
  </property>
</Properties>
</file>