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94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auto"/>
          <w:sz w:val="36"/>
          <w:szCs w:val="36"/>
        </w:rPr>
        <w:t>中山大学生命科学学院学生干部述职评议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auto"/>
          <w:sz w:val="36"/>
          <w:szCs w:val="36"/>
          <w:lang w:val="en-US" w:eastAsia="zh-CN"/>
        </w:rPr>
        <w:t>测评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auto"/>
          <w:sz w:val="36"/>
          <w:szCs w:val="36"/>
        </w:rPr>
        <w:t>表</w:t>
      </w:r>
    </w:p>
    <w:p w14:paraId="54114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  <w:lang w:val="en-US" w:eastAsia="zh-CN"/>
        </w:rPr>
        <w:t>测评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  <w:t>学期：202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  <w:t>-202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  <w:t>学年　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666666"/>
          <w:sz w:val="28"/>
          <w:szCs w:val="28"/>
        </w:rPr>
        <w:t>日期：　　年　　月　　日</w:t>
      </w:r>
    </w:p>
    <w:tbl>
      <w:tblPr>
        <w:tblStyle w:val="11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73"/>
        <w:gridCol w:w="3027"/>
        <w:gridCol w:w="2379"/>
        <w:gridCol w:w="2385"/>
      </w:tblGrid>
      <w:tr w14:paraId="710E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4" w:hRule="atLeast"/>
        </w:trPr>
        <w:tc>
          <w:tcPr>
            <w:tcW w:w="134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DFB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被评议人姓名</w:t>
            </w:r>
          </w:p>
        </w:tc>
        <w:tc>
          <w:tcPr>
            <w:tcW w:w="141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ADC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15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947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担任职务</w:t>
            </w:r>
          </w:p>
        </w:tc>
        <w:tc>
          <w:tcPr>
            <w:tcW w:w="111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824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38C4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4" w:hRule="atLeast"/>
        </w:trPr>
        <w:tc>
          <w:tcPr>
            <w:tcW w:w="134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BD7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评议方面</w:t>
            </w:r>
          </w:p>
        </w:tc>
        <w:tc>
          <w:tcPr>
            <w:tcW w:w="3652" w:type="pct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D0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评定参考表述</w:t>
            </w:r>
          </w:p>
        </w:tc>
      </w:tr>
      <w:tr w14:paraId="47A7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11" w:hRule="atLeast"/>
        </w:trPr>
        <w:tc>
          <w:tcPr>
            <w:tcW w:w="134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36A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一、思想政治
与价值引领</w:t>
            </w:r>
          </w:p>
        </w:tc>
        <w:tc>
          <w:tcPr>
            <w:tcW w:w="3652" w:type="pct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40" w:type="dxa"/>
              <w:left w:w="80" w:type="dxa"/>
              <w:bottom w:w="40" w:type="dxa"/>
              <w:right w:w="80" w:type="dxa"/>
            </w:tcMar>
            <w:vAlign w:val="top"/>
          </w:tcPr>
          <w:p w14:paraId="08453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【优秀】带头学习党的创新理论，政治立场极其坚定，主动在集体中弘扬优良风尚，表率作用极为突出。</w:t>
            </w:r>
          </w:p>
          <w:p w14:paraId="551F7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【称职】按时参加政治学习，思想端正，能自觉践行核心价值观，维护集体风气。</w:t>
            </w:r>
          </w:p>
          <w:p w14:paraId="17690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【基本称职】政治态度基本正确，偶有理论学习缺席，在集体风尚建设上缺乏主动性。</w:t>
            </w:r>
          </w:p>
          <w:p w14:paraId="0AFE8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【不称职】政治认知薄弱，言行失范，散布不当言论，严重破坏集体风气。</w:t>
            </w:r>
          </w:p>
        </w:tc>
      </w:tr>
      <w:tr w14:paraId="4F803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8" w:hRule="atLeast"/>
        </w:trPr>
        <w:tc>
          <w:tcPr>
            <w:tcW w:w="134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52C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二、履职能力
与组织领导</w:t>
            </w:r>
          </w:p>
        </w:tc>
        <w:tc>
          <w:tcPr>
            <w:tcW w:w="3652" w:type="pct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40" w:type="dxa"/>
              <w:left w:w="80" w:type="dxa"/>
              <w:bottom w:w="40" w:type="dxa"/>
              <w:right w:w="80" w:type="dxa"/>
            </w:tcMar>
            <w:vAlign w:val="top"/>
          </w:tcPr>
          <w:p w14:paraId="3E70F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【优秀】工作极具主动性，统筹协调能力卓越，高效落实各项任务，服务同学成效极为显著。</w:t>
            </w:r>
          </w:p>
          <w:p w14:paraId="231B4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【称职】能独立完成常规工作，具备基本的统筹能力，基本满足同学合理诉求。</w:t>
            </w:r>
          </w:p>
          <w:p w14:paraId="70835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【基本称职】履职较为被动，统筹能力不足，工作偶有滞后，服务存在缺位。</w:t>
            </w:r>
          </w:p>
          <w:p w14:paraId="17147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【不称职】履职敷衍塞责，工作长期滞后或停滞，脱离同学，造成不良影响。</w:t>
            </w:r>
          </w:p>
        </w:tc>
      </w:tr>
      <w:tr w14:paraId="7B05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7" w:hRule="atLeast"/>
        </w:trPr>
        <w:tc>
          <w:tcPr>
            <w:tcW w:w="134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78D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三、工作实绩
与创新成效</w:t>
            </w:r>
          </w:p>
        </w:tc>
        <w:tc>
          <w:tcPr>
            <w:tcW w:w="3652" w:type="pct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40" w:type="dxa"/>
              <w:left w:w="80" w:type="dxa"/>
              <w:bottom w:w="40" w:type="dxa"/>
              <w:right w:w="80" w:type="dxa"/>
            </w:tcMar>
            <w:vAlign w:val="top"/>
          </w:tcPr>
          <w:p w14:paraId="1E59D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【优秀】高质量完成校院交办任务，在重点工作中发挥核心引领作用，活动成果丰硕且有示范效应。</w:t>
            </w:r>
          </w:p>
          <w:p w14:paraId="0E976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【称职】按时按质完成常规工作任务，活动开展有序，能达到预期效果。</w:t>
            </w:r>
          </w:p>
          <w:p w14:paraId="0F183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【基本称职】仅能应付一般性事务，工作缺乏亮点，活动效果平平或存在小瑕疵。</w:t>
            </w:r>
          </w:p>
          <w:p w14:paraId="5A15E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【不称职】任务多次拖延、质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量低下，在重点工作中严重缺位，活动组织混乱。</w:t>
            </w:r>
          </w:p>
        </w:tc>
      </w:tr>
      <w:tr w14:paraId="6CA5B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B2C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四、服务意识
与作风建设</w:t>
            </w:r>
          </w:p>
        </w:tc>
        <w:tc>
          <w:tcPr>
            <w:tcW w:w="3652" w:type="pct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40" w:type="dxa"/>
              <w:left w:w="80" w:type="dxa"/>
              <w:bottom w:w="40" w:type="dxa"/>
              <w:right w:w="80" w:type="dxa"/>
            </w:tcMar>
            <w:vAlign w:val="top"/>
          </w:tcPr>
          <w:p w14:paraId="3DE8F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【优秀】模范遵守校纪校规，作风极其务实公正，敢于担当，以身作则带动班风学风建设。</w:t>
            </w:r>
          </w:p>
          <w:p w14:paraId="28CE2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【称职】严守校规校纪，能回应同学诉求，履职尽责，自我要求严格。</w:t>
            </w:r>
          </w:p>
          <w:p w14:paraId="4A5ED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【基本称职】偶有轻微违纪，责任心一般，自我表率作用不明显。</w:t>
            </w:r>
          </w:p>
          <w:p w14:paraId="27F37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【不称职】存在违纪违规行为，履职不公，推诿扯皮，自我要求松懈。</w:t>
            </w:r>
          </w:p>
        </w:tc>
      </w:tr>
      <w:tr w14:paraId="1AC7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1" w:hRule="atLeast"/>
        </w:trPr>
        <w:tc>
          <w:tcPr>
            <w:tcW w:w="134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ABE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>总评等级</w:t>
            </w:r>
          </w:p>
        </w:tc>
        <w:tc>
          <w:tcPr>
            <w:tcW w:w="3652" w:type="pct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49A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 xml:space="preserve">优秀    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 xml:space="preserve">称职   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 xml:space="preserve">基本称职 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32"/>
                <w:szCs w:val="32"/>
                <w:lang w:val="en-US" w:eastAsia="zh-CN"/>
              </w:rPr>
              <w:t>不称职</w:t>
            </w:r>
          </w:p>
        </w:tc>
      </w:tr>
    </w:tbl>
    <w:p w14:paraId="63096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i/>
          <w:iCs/>
          <w:color w:val="auto"/>
          <w:sz w:val="24"/>
          <w:szCs w:val="24"/>
        </w:rPr>
        <w:t>请根据被评议人实际表现，在对应的等次栏内打"√"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auto"/>
          <w:sz w:val="24"/>
          <w:szCs w:val="24"/>
        </w:rPr>
        <w:t>）</w:t>
      </w:r>
    </w:p>
    <w:sectPr>
      <w:headerReference r:id="rId3" w:type="default"/>
      <w:footerReference r:id="rId4" w:type="default"/>
      <w:pgSz w:w="11906" w:h="16838"/>
      <w:pgMar w:top="720" w:right="720" w:bottom="720" w:left="720" w:header="708" w:footer="70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5A29F7F7-C1C2-41B0-A4B0-F7A0D94AB2C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B6F3CF3-C153-4317-97F1-4FA3C74FB84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DF24478-6D93-4C02-BFCD-17F58CAF73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4BB56">
    <w:pPr>
      <w:spacing w:before="0"/>
      <w:jc w:val="center"/>
    </w:pPr>
    <w:r>
      <w:rPr>
        <w:rFonts w:ascii="微软雅黑" w:hAnsi="微软雅黑" w:eastAsia="微软雅黑" w:cs="微软雅黑"/>
        <w:b w:val="0"/>
        <w:bCs w:val="0"/>
        <w:i w:val="0"/>
        <w:iCs w:val="0"/>
        <w:color w:val="999999"/>
        <w:sz w:val="18"/>
        <w:szCs w:val="18"/>
      </w:rPr>
      <w:t xml:space="preserve">第 </w: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begin"/>
    </w:r>
    <w:r>
      <w:rPr>
        <w:rFonts w:ascii="微软雅黑" w:hAnsi="微软雅黑" w:eastAsia="微软雅黑" w:cs="微软雅黑"/>
        <w:color w:val="999999"/>
        <w:sz w:val="18"/>
        <w:szCs w:val="18"/>
      </w:rPr>
      <w:instrText xml:space="preserve">PAGE</w:instrTex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separate"/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end"/>
    </w:r>
    <w:r>
      <w:rPr>
        <w:rFonts w:ascii="微软雅黑" w:hAnsi="微软雅黑" w:eastAsia="微软雅黑" w:cs="微软雅黑"/>
        <w:b w:val="0"/>
        <w:bCs w:val="0"/>
        <w:i w:val="0"/>
        <w:iCs w:val="0"/>
        <w:color w:val="999999"/>
        <w:sz w:val="18"/>
        <w:szCs w:val="18"/>
      </w:rPr>
      <w:t xml:space="preserve"> 页 / 共 </w: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begin"/>
    </w:r>
    <w:r>
      <w:rPr>
        <w:rFonts w:ascii="微软雅黑" w:hAnsi="微软雅黑" w:eastAsia="微软雅黑" w:cs="微软雅黑"/>
        <w:color w:val="999999"/>
        <w:sz w:val="18"/>
        <w:szCs w:val="18"/>
      </w:rPr>
      <w:instrText xml:space="preserve">NUMPAGES</w:instrText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separate"/>
    </w:r>
    <w:r>
      <w:rPr>
        <w:rFonts w:ascii="微软雅黑" w:hAnsi="微软雅黑" w:eastAsia="微软雅黑" w:cs="微软雅黑"/>
        <w:color w:val="999999"/>
        <w:sz w:val="18"/>
        <w:szCs w:val="18"/>
      </w:rPr>
      <w:fldChar w:fldCharType="end"/>
    </w:r>
    <w:r>
      <w:rPr>
        <w:rFonts w:ascii="微软雅黑" w:hAnsi="微软雅黑" w:eastAsia="微软雅黑" w:cs="微软雅黑"/>
        <w:b w:val="0"/>
        <w:bCs w:val="0"/>
        <w:i w:val="0"/>
        <w:iCs w:val="0"/>
        <w:color w:val="999999"/>
        <w:sz w:val="18"/>
        <w:szCs w:val="18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E9CC7">
    <w:pPr>
      <w:spacing w:after="0"/>
      <w:jc w:val="right"/>
      <w:rPr>
        <w:rFonts w:hint="eastAsia" w:ascii="仿宋_GB2312" w:hAnsi="仿宋_GB2312" w:eastAsia="仿宋_GB2312" w:cs="仿宋_GB2312"/>
        <w:b w:val="0"/>
        <w:bCs w:val="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1C361FA4"/>
    <w:rsid w:val="32640A3F"/>
    <w:rsid w:val="42C52820"/>
    <w:rsid w:val="6D3B55FA"/>
    <w:rsid w:val="79B34ECD"/>
    <w:rsid w:val="7FEA1C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微软雅黑" w:eastAsia="微软雅黑" w:cs="微软雅黑"/>
      <w:sz w:val="20"/>
      <w:szCs w:val="20"/>
    </w:rPr>
  </w:style>
  <w:style w:type="paragraph" w:styleId="2">
    <w:name w:val="heading 1"/>
    <w:next w:val="1"/>
    <w:qFormat/>
    <w:uiPriority w:val="0"/>
    <w:rPr>
      <w:rFonts w:ascii="微软雅黑" w:hAnsi="微软雅黑" w:eastAsia="微软雅黑" w:cs="微软雅黑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微软雅黑" w:hAnsi="微软雅黑" w:eastAsia="微软雅黑" w:cs="微软雅黑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微软雅黑" w:hAnsi="微软雅黑" w:eastAsia="微软雅黑" w:cs="微软雅黑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微软雅黑" w:hAnsi="微软雅黑" w:eastAsia="微软雅黑" w:cs="微软雅黑"/>
      <w:i/>
      <w:iCs/>
      <w:color w:val="2E74B5"/>
      <w:sz w:val="20"/>
      <w:szCs w:val="20"/>
    </w:rPr>
  </w:style>
  <w:style w:type="paragraph" w:styleId="6">
    <w:name w:val="heading 5"/>
    <w:next w:val="1"/>
    <w:qFormat/>
    <w:uiPriority w:val="0"/>
    <w:rPr>
      <w:rFonts w:ascii="微软雅黑" w:hAnsi="微软雅黑" w:eastAsia="微软雅黑" w:cs="微软雅黑"/>
      <w:color w:val="2E74B5"/>
      <w:sz w:val="20"/>
      <w:szCs w:val="20"/>
    </w:rPr>
  </w:style>
  <w:style w:type="paragraph" w:styleId="7">
    <w:name w:val="heading 6"/>
    <w:next w:val="1"/>
    <w:qFormat/>
    <w:uiPriority w:val="0"/>
    <w:rPr>
      <w:rFonts w:ascii="微软雅黑" w:hAnsi="微软雅黑" w:eastAsia="微软雅黑" w:cs="微软雅黑"/>
      <w:color w:val="1F4D78"/>
      <w:sz w:val="20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微软雅黑" w:hAnsi="微软雅黑" w:eastAsia="微软雅黑" w:cs="微软雅黑"/>
      <w:sz w:val="20"/>
      <w:szCs w:val="20"/>
    </w:rPr>
  </w:style>
  <w:style w:type="paragraph" w:styleId="9">
    <w:name w:val="footnote text"/>
    <w:link w:val="17"/>
    <w:semiHidden/>
    <w:unhideWhenUsed/>
    <w:qFormat/>
    <w:uiPriority w:val="99"/>
    <w:pPr>
      <w:spacing w:after="0" w:line="240" w:lineRule="auto"/>
    </w:pPr>
    <w:rPr>
      <w:rFonts w:ascii="微软雅黑" w:hAnsi="微软雅黑" w:eastAsia="微软雅黑" w:cs="微软雅黑"/>
      <w:sz w:val="20"/>
      <w:szCs w:val="20"/>
    </w:rPr>
  </w:style>
  <w:style w:type="paragraph" w:styleId="10">
    <w:name w:val="Title"/>
    <w:qFormat/>
    <w:uiPriority w:val="0"/>
    <w:rPr>
      <w:rFonts w:ascii="微软雅黑" w:hAnsi="微软雅黑" w:eastAsia="微软雅黑" w:cs="微软雅黑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微软雅黑" w:hAnsi="微软雅黑" w:eastAsia="微软雅黑" w:cs="微软雅黑"/>
      <w:sz w:val="20"/>
      <w:szCs w:val="20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911</Words>
  <Characters>918</Characters>
  <TotalTime>4</TotalTime>
  <ScaleCrop>false</ScaleCrop>
  <LinksUpToDate>false</LinksUpToDate>
  <CharactersWithSpaces>938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2026-07-27T03:13:00Z</dcterms:created>
  <dc:creator>Un-named</dc:creator>
  <cp:lastModifiedBy>周语</cp:lastModifiedBy>
  <dcterms:modified xsi:type="dcterms:W3CDTF">2026-07-27T08:51:38Z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{"Label":"1","ContentProducer":"001191440300708461136T1WFUO","ProduceID":"1d056ebac51d2377d72f5bf98c319f84-SwbM","ReservedCode1":"{\"Type\":\" TC260PG\",\"Version\":1,\"Bindings\":[{\"Type\":\"soft\",\"AlgID\":\"sm3\",\"Value\":\"44cc0a5bf551ae8cf80b1f7adfc4cb5eebebea785d61f25c512a8694bfe7d233\"},{\"Type\":\"hash\",\"AlgID\":\"sm3\",\"Value\":\"b606247176f58632f29b202bb9fe953a8bf16aaaecd6ffa587dc0f092d71e09b\"}],\"PubSD\":[{\"Type\":\"DS\",\"AlgID\":\"sm2\",\"TBSData\":{\"Type\":\"Binding\",\"BType\":\"hash\"},\"Signature\":\"3046022100f1755cfe8a2945aef515b4f8506642e4b6c155870eda4e260def290a2972db73022100e511ff2a4e9aab29f4e78ce3dde9a12a1e73851fb47d3e7b01bb593a02a1d7c8\"},{\"Type\":\"PubKey\",\"AlgID\":\"sm2\",\"KeyValue\":\"0407f79b28a17a752b3aae4305c98b48978213832729a2571850b1310b2bc9fe8fee039ccf25ebfeac27502414d9fcef792d777183c98893d226171c2f7a3289a2\"}],\"Extension\":{\"Timestamp\":1785122007,\"KeyVersion\":\"v1-TxLeOmf7bqU223\"}}","ContentPropagator":"001191440300708461136T1WFUO","PropagateID":"1d056ebac51d2377d72f5bf98c319f84-SwbM","ReservedCode2":"{\"Type\":\" TC260PG\",\"Version\":1,\"Bindings\":[{\"Type\":\"soft\",\"AlgID\":\"sm3\",\"Value\":\"44cc0a5bf551ae8cf80b1f7adfc4cb5eebebea785d61f25c512a8694bfe7d233\"},{\"Type\":\"hash\",\"AlgID\":\"sm3\",\"Value\":\"b606247176f58632f29b202bb9fe953a8bf16aaaecd6ffa587dc0f092d71e09b\"}],\"PubSD\":[{\"Type\":\"DS\",\"AlgID\":\"sm2\",\"TBSData\":{\"Type\":\"Binding\",\"BType\":\"hash\"},\"Signature\":\"304502201cc5dbe2dfda92a8d447769448060315224f98d4a15b661491097096e3e1f362022100f0486159d5ad56c705b02d352126332b192104265158c54f571e05fff5d556cb\"},{\"Type\":\"PubKey\",\"AlgID\":\"sm2\",\"KeyValue\":\"0407f79b28a17a752b3aae4305c98b48978213832729a2571850b1310b2bc9fe8fee039ccf25ebfeac27502414d9fcef792d777183c98893d226171c2f7a3289a2\"}],\"Extension\":{\"Timestamp\":1785122007,\"KeyVersion\":\"v1-TxLeOmf7bqU223\"}}"}</vt:lpwstr>
  </property>
  <property fmtid="{D5CDD505-2E9C-101B-9397-08002B2CF9AE}" pid="3" name="KSOTemplateDocerSaveRecord">
    <vt:lpwstr>eyJoZGlkIjoiYmZkZDk1NTBkNDM4YWYzMTE3ZDAzOGU0ZGQ1ZWUwMGMiLCJ1c2VySWQiOiIxNjUwNjk5NzE1In0=</vt:lpwstr>
  </property>
  <property fmtid="{D5CDD505-2E9C-101B-9397-08002B2CF9AE}" pid="4" name="KSOProductBuildVer">
    <vt:lpwstr>2052-12.1.0.26895</vt:lpwstr>
  </property>
  <property fmtid="{D5CDD505-2E9C-101B-9397-08002B2CF9AE}" pid="5" name="ICV">
    <vt:lpwstr>8B3B9FAB1BA1463999946A4BFE0E05E5_12</vt:lpwstr>
  </property>
</Properties>
</file>